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254B6">
      <w:pPr>
        <w:jc w:val="center"/>
        <w:rPr>
          <w:rFonts w:hint="eastAsia" w:eastAsia="宋体"/>
          <w:sz w:val="28"/>
          <w:szCs w:val="28"/>
          <w:lang w:val="en-US" w:eastAsia="zh-CN"/>
        </w:rPr>
      </w:pPr>
      <w:r>
        <w:rPr>
          <w:rFonts w:hint="eastAsia"/>
          <w:sz w:val="28"/>
          <w:szCs w:val="28"/>
          <w:lang w:eastAsia="zh-CN"/>
        </w:rPr>
        <w:t>产品</w:t>
      </w:r>
      <w:r>
        <w:rPr>
          <w:rFonts w:hint="eastAsia"/>
          <w:sz w:val="28"/>
          <w:szCs w:val="28"/>
          <w:lang w:val="en-US" w:eastAsia="zh-CN"/>
        </w:rPr>
        <w:t>技术建议书</w:t>
      </w:r>
    </w:p>
    <w:p w14:paraId="3E7D6B9B">
      <w:pPr>
        <w:numPr>
          <w:ilvl w:val="0"/>
          <w:numId w:val="2"/>
        </w:numPr>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产品简介</w:t>
      </w:r>
    </w:p>
    <w:p w14:paraId="327A25E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4"/>
          <w:lang w:val="en-US" w:eastAsia="zh-CN"/>
        </w:rPr>
      </w:pPr>
      <w:r>
        <w:rPr>
          <w:rFonts w:hint="eastAsia" w:ascii="宋体" w:hAnsi="宋体" w:eastAsia="宋体" w:cs="宋体"/>
          <w:sz w:val="24"/>
          <w:szCs w:val="24"/>
          <w:lang w:val="en-US" w:eastAsia="zh-CN"/>
        </w:rPr>
        <w:t>MD-100100DS双视角X光机</w:t>
      </w:r>
      <w:r>
        <w:rPr>
          <w:rFonts w:hint="eastAsia" w:ascii="宋体" w:hAnsi="宋体" w:cs="宋体"/>
          <w:sz w:val="24"/>
          <w:szCs w:val="24"/>
          <w:lang w:val="en-US" w:eastAsia="zh-CN"/>
        </w:rPr>
        <w:t>是广东麦盾安全设备有限公司研发制造的双视角双能级X射线检查设备，设计及操作程序符合人类工效的基本要求，并便于操作和维修，用于扫描检查行李的封闭式双视角双能级X射线成像系统，可在不打开行包的情况下检查其内装的物品。</w:t>
      </w:r>
    </w:p>
    <w:p w14:paraId="7CB9F2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设备具有先进的物质识别功能，可自动识别有机物和无机物，具备穿透分辨、空间分辨、材料分清等功能，并在图像上赋予不同的颜色，有助于操作人员对图像进行识别和判断。</w:t>
      </w:r>
    </w:p>
    <w:p w14:paraId="72120C4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4106545" cy="3216910"/>
            <wp:effectExtent l="0" t="0" r="8255" b="254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4"/>
                    <a:stretch>
                      <a:fillRect/>
                    </a:stretch>
                  </pic:blipFill>
                  <pic:spPr>
                    <a:xfrm>
                      <a:off x="0" y="0"/>
                      <a:ext cx="4106545" cy="3216910"/>
                    </a:xfrm>
                    <a:prstGeom prst="rect">
                      <a:avLst/>
                    </a:prstGeom>
                    <a:noFill/>
                    <a:ln>
                      <a:noFill/>
                    </a:ln>
                  </pic:spPr>
                </pic:pic>
              </a:graphicData>
            </a:graphic>
          </wp:inline>
        </w:drawing>
      </w:r>
    </w:p>
    <w:p w14:paraId="4C65BA4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设备图片为效果图，具体以实物图为准</w:t>
      </w:r>
      <w:r>
        <w:rPr>
          <w:rFonts w:hint="eastAsia" w:ascii="宋体" w:hAnsi="宋体" w:eastAsia="宋体" w:cs="宋体"/>
          <w:b w:val="0"/>
          <w:bCs w:val="0"/>
          <w:sz w:val="24"/>
          <w:szCs w:val="24"/>
          <w:lang w:eastAsia="zh-CN"/>
        </w:rPr>
        <w:t>）</w:t>
      </w:r>
    </w:p>
    <w:p w14:paraId="28071A9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b/>
          <w:bCs/>
          <w:sz w:val="28"/>
          <w:szCs w:val="28"/>
          <w:lang w:val="en-US" w:eastAsia="zh-CN"/>
        </w:rPr>
      </w:pPr>
      <w:r>
        <w:rPr>
          <w:rFonts w:hint="eastAsia" w:ascii="宋体" w:hAnsi="宋体" w:eastAsia="宋体" w:cs="宋体"/>
          <w:b/>
          <w:bCs/>
          <w:kern w:val="2"/>
          <w:sz w:val="28"/>
          <w:szCs w:val="28"/>
          <w:lang w:val="en-US" w:eastAsia="zh-CN" w:bidi="ar-SA"/>
        </w:rPr>
        <w:t>2、</w:t>
      </w:r>
      <w:r>
        <w:rPr>
          <w:rFonts w:hint="eastAsia" w:ascii="宋体" w:hAnsi="宋体" w:cs="宋体"/>
          <w:b/>
          <w:bCs/>
          <w:sz w:val="28"/>
          <w:szCs w:val="28"/>
          <w:lang w:val="en-US" w:eastAsia="zh-CN"/>
        </w:rPr>
        <w:t>技术特点</w:t>
      </w:r>
    </w:p>
    <w:p w14:paraId="311A8B1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先进的物质识别功能，能够将被检物的不同类别物质组成表示为不同颜色：</w:t>
      </w:r>
    </w:p>
    <w:p w14:paraId="62579C18">
      <w:pPr>
        <w:keepNext w:val="0"/>
        <w:keepLines w:val="0"/>
        <w:pageBreakBefore w:val="0"/>
        <w:widowControl w:val="0"/>
        <w:kinsoku/>
        <w:wordWrap/>
        <w:overflowPunct/>
        <w:topLinePunct w:val="0"/>
        <w:autoSpaceDE/>
        <w:autoSpaceDN/>
        <w:bidi w:val="0"/>
        <w:adjustRightInd/>
        <w:snapToGrid/>
        <w:spacing w:line="360" w:lineRule="auto"/>
        <w:ind w:left="0" w:firstLine="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有机物——橙色</w:t>
      </w:r>
    </w:p>
    <w:p w14:paraId="560C2646">
      <w:pPr>
        <w:keepNext w:val="0"/>
        <w:keepLines w:val="0"/>
        <w:pageBreakBefore w:val="0"/>
        <w:widowControl w:val="0"/>
        <w:kinsoku/>
        <w:wordWrap/>
        <w:overflowPunct/>
        <w:topLinePunct w:val="0"/>
        <w:autoSpaceDE/>
        <w:autoSpaceDN/>
        <w:bidi w:val="0"/>
        <w:adjustRightInd/>
        <w:snapToGrid/>
        <w:spacing w:line="360" w:lineRule="auto"/>
        <w:ind w:left="0" w:firstLine="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无机物——蓝色</w:t>
      </w:r>
    </w:p>
    <w:p w14:paraId="2B25384D">
      <w:pPr>
        <w:keepNext w:val="0"/>
        <w:keepLines w:val="0"/>
        <w:pageBreakBefore w:val="0"/>
        <w:widowControl w:val="0"/>
        <w:kinsoku/>
        <w:wordWrap/>
        <w:overflowPunct/>
        <w:topLinePunct w:val="0"/>
        <w:autoSpaceDE/>
        <w:autoSpaceDN/>
        <w:bidi w:val="0"/>
        <w:adjustRightInd/>
        <w:snapToGrid/>
        <w:spacing w:line="360" w:lineRule="auto"/>
        <w:ind w:left="0" w:firstLine="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混合物和轻金属——绿色</w:t>
      </w:r>
    </w:p>
    <w:p w14:paraId="4828CA38">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环境辐射剂量率极低，设备周边辐射剂量率接近天然本底水平，符合所有国际国内健康安全标准。</w:t>
      </w:r>
    </w:p>
    <w:p w14:paraId="32C8383B">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检查图像自动存储，同时提供手动选择存储功能，可以将选定的图像或图像局部区域存储到指定文件夹；支持将专用图像格式转换为JPG、BMP、PNG等通用图像格式；支持将图像转存至USB存储设备。</w:t>
      </w:r>
    </w:p>
    <w:p w14:paraId="5CD45560">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具有双向扫描功能，可通过切换输送装置的运转方向，实现对包裹的双向正常扫描。</w:t>
      </w:r>
    </w:p>
    <w:p w14:paraId="5BE4BA8C">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X射线图像能完整显示被检对象及内部物体的整体轮廓；</w:t>
      </w:r>
      <w:r>
        <w:rPr>
          <w:rFonts w:hint="eastAsia" w:ascii="宋体" w:hAnsi="宋体" w:eastAsia="宋体" w:cs="宋体"/>
          <w:sz w:val="24"/>
          <w:szCs w:val="24"/>
          <w:lang w:eastAsia="zh-CN"/>
        </w:rPr>
        <w:t>具有图像增强功能，增强显示图像局部细节。</w:t>
      </w:r>
    </w:p>
    <w:p w14:paraId="0549752C">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当图像数据量达到设定的磁盘空间限值时，能够按照“先入先出”原则自动删除已保存的图像。</w:t>
      </w:r>
    </w:p>
    <w:p w14:paraId="63079315">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具备智能识别功能</w:t>
      </w:r>
      <w:r>
        <w:rPr>
          <w:rFonts w:hint="eastAsia" w:ascii="宋体" w:hAnsi="宋体" w:eastAsia="宋体" w:cs="宋体"/>
          <w:sz w:val="24"/>
          <w:szCs w:val="24"/>
          <w:lang w:eastAsia="zh-CN"/>
        </w:rPr>
        <w:tab/>
      </w:r>
      <w:r>
        <w:rPr>
          <w:rFonts w:hint="eastAsia" w:ascii="宋体" w:hAnsi="宋体" w:eastAsia="宋体" w:cs="宋体"/>
          <w:sz w:val="24"/>
          <w:szCs w:val="24"/>
          <w:lang w:eastAsia="zh-CN"/>
        </w:rPr>
        <w:t>主机自带智能识别系统，支持特殊物品识别功能，可识别特殊物品包括但不限于：瓶装液体、刀具、枪支、电池、剪刀、打火机、电脑、手机、雨伞、甩棍、指虎、烟花爆竹、电击器、喷罐等。识别物品的种类和准确率满足实际需求</w:t>
      </w:r>
    </w:p>
    <w:p w14:paraId="3BA12677">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图像选区及放大</w:t>
      </w:r>
      <w:r>
        <w:rPr>
          <w:rFonts w:hint="eastAsia" w:ascii="宋体" w:hAnsi="宋体" w:cs="宋体"/>
          <w:sz w:val="24"/>
          <w:szCs w:val="24"/>
          <w:lang w:eastAsia="zh-CN"/>
        </w:rPr>
        <w:t>，</w:t>
      </w:r>
      <w:r>
        <w:rPr>
          <w:rFonts w:hint="eastAsia" w:ascii="宋体" w:hAnsi="宋体" w:eastAsia="宋体" w:cs="宋体"/>
          <w:sz w:val="24"/>
          <w:szCs w:val="24"/>
          <w:lang w:eastAsia="zh-CN"/>
        </w:rPr>
        <w:t>连续选区，可选多区，1-128倍放大，实现全屏连续观察。</w:t>
      </w:r>
    </w:p>
    <w:p w14:paraId="48766E89">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电磁兼容</w:t>
      </w:r>
      <w:r>
        <w:rPr>
          <w:rFonts w:hint="eastAsia" w:ascii="宋体" w:hAnsi="宋体" w:eastAsia="宋体" w:cs="宋体"/>
          <w:sz w:val="24"/>
          <w:szCs w:val="24"/>
          <w:lang w:eastAsia="zh-CN"/>
        </w:rPr>
        <w:tab/>
      </w:r>
      <w:r>
        <w:rPr>
          <w:rFonts w:hint="eastAsia" w:ascii="宋体" w:hAnsi="宋体" w:eastAsia="宋体" w:cs="宋体"/>
          <w:sz w:val="24"/>
          <w:szCs w:val="24"/>
          <w:lang w:eastAsia="zh-CN"/>
        </w:rPr>
        <w:t>满足国标GB/T17626系列和GB/T17799系列对电磁兼容性的要求。</w:t>
      </w:r>
    </w:p>
    <w:p w14:paraId="083CC9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8"/>
          <w:szCs w:val="28"/>
          <w:lang w:val="en-US" w:eastAsia="zh-CN"/>
        </w:rPr>
      </w:pPr>
      <w:r>
        <w:rPr>
          <w:rFonts w:hint="eastAsia" w:ascii="宋体" w:hAnsi="宋体" w:eastAsia="宋体" w:cs="宋体"/>
          <w:b/>
          <w:bCs/>
          <w:kern w:val="2"/>
          <w:sz w:val="28"/>
          <w:szCs w:val="28"/>
          <w:lang w:val="en-US" w:eastAsia="zh-CN" w:bidi="ar-SA"/>
        </w:rPr>
        <w:t>3、</w:t>
      </w:r>
      <w:r>
        <w:rPr>
          <w:rFonts w:hint="eastAsia" w:ascii="宋体" w:hAnsi="宋体" w:eastAsia="宋体" w:cs="宋体"/>
          <w:b/>
          <w:bCs/>
          <w:sz w:val="28"/>
          <w:szCs w:val="28"/>
          <w:lang w:val="en-US" w:eastAsia="zh-CN"/>
        </w:rPr>
        <w:t>技术原理</w:t>
      </w:r>
    </w:p>
    <w:p w14:paraId="1CE603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X射线成像原理</w:t>
      </w:r>
    </w:p>
    <w:p w14:paraId="03589D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X射线是一种电磁波，具有很强的穿透能力，甚至能够穿透一定厚度的钢板，因此常被用于对物体内部的透视成像。当X射线穿过物品时，不同物质组成、不同密度和不同厚度的物品内部结构能够不同程度地吸收X射线。密度、厚度越大，吸收射线越多；密度、厚度越小，吸收射线越少。所以从物品透射出来的射线强度就能够反映出物品内部结构信息。</w:t>
      </w:r>
    </w:p>
    <w:p w14:paraId="45E35451">
      <w:pPr>
        <w:pStyle w:val="2"/>
        <w:pageBreakBefore w:val="0"/>
        <w:widowControl w:val="0"/>
        <w:numPr>
          <w:ilvl w:val="2"/>
          <w:numId w:val="0"/>
        </w:numPr>
        <w:kinsoku/>
        <w:wordWrap/>
        <w:overflowPunct/>
        <w:topLinePunct w:val="0"/>
        <w:autoSpaceDE/>
        <w:autoSpaceDN/>
        <w:bidi w:val="0"/>
        <w:adjustRightInd/>
        <w:snapToGrid/>
        <w:spacing w:line="360" w:lineRule="auto"/>
        <w:ind w:leftChars="0"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3.2.双能X射线实现物质分辨的原理</w:t>
      </w:r>
    </w:p>
    <w:p w14:paraId="0A8A303F">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微软雅黑" w:hAnsi="微软雅黑"/>
          <w:sz w:val="24"/>
          <w:szCs w:val="24"/>
        </w:rPr>
      </w:pPr>
      <w:r>
        <w:rPr>
          <w:rFonts w:hint="eastAsia" w:ascii="微软雅黑" w:hAnsi="微软雅黑"/>
          <w:sz w:val="24"/>
          <w:szCs w:val="24"/>
        </w:rPr>
        <w:t>采用高能探测器和低能探测器两组探测器阵列，分别探测高能谱和低能谱射线信号。</w:t>
      </w:r>
    </w:p>
    <w:p w14:paraId="7269A478">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微软雅黑" w:hAnsi="微软雅黑"/>
          <w:sz w:val="24"/>
          <w:szCs w:val="24"/>
        </w:rPr>
      </w:pPr>
      <w:r>
        <w:rPr>
          <w:rFonts w:hint="eastAsia" w:ascii="微软雅黑" w:hAnsi="微软雅黑"/>
          <w:sz w:val="24"/>
          <w:szCs w:val="24"/>
        </w:rPr>
        <w:t>高能射线能够穿透密度和原子序数较大的物质，也能穿过密度和原子序数小的物质；而低能射线无法穿透密度和原子序数较大的物质，只能穿透密度和原子序数小的物质。</w:t>
      </w:r>
    </w:p>
    <w:p w14:paraId="5EE16E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left"/>
        <w:textAlignment w:val="auto"/>
        <w:rPr>
          <w:rFonts w:hint="default" w:eastAsia="宋体"/>
          <w:sz w:val="24"/>
          <w:szCs w:val="24"/>
          <w:lang w:val="en-US" w:eastAsia="zh-CN"/>
        </w:rPr>
      </w:pPr>
      <w:r>
        <w:rPr>
          <w:rFonts w:hint="eastAsia" w:ascii="微软雅黑" w:hAnsi="微软雅黑"/>
          <w:sz w:val="24"/>
          <w:szCs w:val="24"/>
        </w:rPr>
        <w:t>因此，将高能与低能信号进行比对，能够获得被检物品的有效原子序数，即沿射线方向被检物品物质原子序数的加权平均。根据有效原子序数信息，可以将被检物品的物质组成分为有机物、无机物和混合物（或轻金属）三个类别，并在图像上分别用橙色、蓝色和绿色表示，就得到了下图所示的彩色图像：</w:t>
      </w:r>
    </w:p>
    <w:p w14:paraId="0311963A">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pPr>
      <w:r>
        <w:drawing>
          <wp:inline distT="0" distB="0" distL="114300" distR="114300">
            <wp:extent cx="3520440" cy="2242820"/>
            <wp:effectExtent l="0" t="0" r="381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520440" cy="2242820"/>
                    </a:xfrm>
                    <a:prstGeom prst="rect">
                      <a:avLst/>
                    </a:prstGeom>
                    <a:noFill/>
                    <a:ln>
                      <a:noFill/>
                    </a:ln>
                  </pic:spPr>
                </pic:pic>
              </a:graphicData>
            </a:graphic>
          </wp:inline>
        </w:drawing>
      </w:r>
    </w:p>
    <w:p w14:paraId="5279E728">
      <w:pPr>
        <w:keepNext w:val="0"/>
        <w:keepLines w:val="0"/>
        <w:pageBreakBefore w:val="0"/>
        <w:widowControl w:val="0"/>
        <w:numPr>
          <w:ilvl w:val="0"/>
          <w:numId w:val="11"/>
        </w:numPr>
        <w:kinsoku/>
        <w:wordWrap/>
        <w:overflowPunct/>
        <w:topLinePunct w:val="0"/>
        <w:autoSpaceDE/>
        <w:autoSpaceDN/>
        <w:bidi w:val="0"/>
        <w:adjustRightInd/>
        <w:snapToGrid/>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系统结构组成和功能</w:t>
      </w:r>
    </w:p>
    <w:p w14:paraId="0E1A39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主要由X光机分系统、探测器和数据采集分系统、机械传送分系统、电气控制分系统、运行检查分系统和辐射防护装置组成，如下图所示：</w:t>
      </w:r>
    </w:p>
    <w:p w14:paraId="1F25A735">
      <w:pPr>
        <w:jc w:val="center"/>
        <w:rPr>
          <w:rFonts w:ascii="微软雅黑" w:hAnsi="微软雅黑"/>
        </w:rPr>
      </w:pPr>
      <w:r>
        <w:rPr>
          <w:rFonts w:ascii="微软雅黑" w:hAnsi="微软雅黑"/>
        </w:rPr>
        <w:drawing>
          <wp:inline distT="0" distB="0" distL="0" distR="0">
            <wp:extent cx="5210810" cy="4183380"/>
            <wp:effectExtent l="0" t="0" r="8890" b="7620"/>
            <wp:docPr id="599" name="图片 599" descr="CX系列产品BI&amp;TI系统结构组成及功能说明示意图（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图片 599" descr="CX系列产品BI&amp;TI系统结构组成及功能说明示意图（中）"/>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10810" cy="4183380"/>
                    </a:xfrm>
                    <a:prstGeom prst="rect">
                      <a:avLst/>
                    </a:prstGeom>
                    <a:noFill/>
                    <a:ln>
                      <a:noFill/>
                    </a:ln>
                  </pic:spPr>
                </pic:pic>
              </a:graphicData>
            </a:graphic>
          </wp:inline>
        </w:drawing>
      </w:r>
    </w:p>
    <w:p w14:paraId="028C61CB">
      <w:pPr>
        <w:jc w:val="center"/>
        <w:rPr>
          <w:rFonts w:ascii="微软雅黑" w:hAnsi="微软雅黑"/>
        </w:rPr>
      </w:pPr>
      <w:r>
        <w:rPr>
          <w:rFonts w:hint="eastAsia" w:ascii="微软雅黑" w:hAnsi="微软雅黑"/>
        </w:rPr>
        <w:t>系统结构组成和功能框图</w:t>
      </w:r>
    </w:p>
    <w:p w14:paraId="1DE635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4.1.</w:t>
      </w:r>
      <w:r>
        <w:rPr>
          <w:rFonts w:hint="eastAsia" w:ascii="宋体" w:hAnsi="宋体" w:eastAsia="宋体" w:cs="宋体"/>
          <w:sz w:val="24"/>
          <w:szCs w:val="24"/>
        </w:rPr>
        <w:t>X光机分系统</w:t>
      </w:r>
    </w:p>
    <w:p w14:paraId="73CA1F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X光机分系统产生辐射成像所需的X射线，采用X射线发射器和X射线控制器一体化设计。</w:t>
      </w:r>
    </w:p>
    <w:p w14:paraId="06C93D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X射线发射器主要包括X光管、高压发生器和全封闭油冷装置。其中X光管是核心部件，管内金属灯丝高温加热产生电子，电子在高压电场作用下加速，撞击金属钨靶而产生X射线。</w:t>
      </w:r>
    </w:p>
    <w:p w14:paraId="72A40C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X射线控制器主要包括高压和管电流控制电路。高压调节主要用于控制X射线能谱分布，管电流调节主要用于控制X射线强度。X射线的高压和管电流对X射线的穿透能力和设备的线分辨力起了决定性作用。</w:t>
      </w:r>
    </w:p>
    <w:p w14:paraId="5F42FD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4.2.</w:t>
      </w:r>
      <w:r>
        <w:rPr>
          <w:rFonts w:hint="eastAsia" w:ascii="宋体" w:hAnsi="宋体" w:eastAsia="宋体" w:cs="宋体"/>
          <w:sz w:val="24"/>
          <w:szCs w:val="24"/>
        </w:rPr>
        <w:t>辐射防护装置</w:t>
      </w:r>
    </w:p>
    <w:p w14:paraId="0D5BB2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辐射防护装置保证设备环境辐射剂量率符合所有国际国内已发布的健康安全标准，同时提供系统安全联锁和警示装置。辐射防护装置主要采取以下方法和安全装置保障系统辐射安全：</w:t>
      </w:r>
    </w:p>
    <w:p w14:paraId="57BB3B75">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提供全封闭的铅屏蔽，包括通道进出口端的铅门帘防护，阻止射线泄漏。</w:t>
      </w:r>
    </w:p>
    <w:p w14:paraId="44E4DBAF">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通道进出口的防护罩能够防止旅客取、放包裹时误将手伸入通道内，从而有效防止误照射的发生。</w:t>
      </w:r>
    </w:p>
    <w:p w14:paraId="1ACC9CCC">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通道进出口端及专用键盘都配置急停开关，按下后可迅速切断X射线发射器和传送装置电源。</w:t>
      </w:r>
    </w:p>
    <w:p w14:paraId="36A7F7E1">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X光机分系统两侧盖板都配置安全联锁开关，盖板未完全闭合时X射线发生器和皮带滚筒无法上电，从而不会有射线泄露。</w:t>
      </w:r>
    </w:p>
    <w:p w14:paraId="64DD4E4C">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设备通道进出口端及专用键盘都配置X射线出束指示灯，当X射线出束时，指示灯亮起警示。</w:t>
      </w:r>
    </w:p>
    <w:p w14:paraId="5603FDC6">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产品主要功能介绍</w:t>
      </w:r>
    </w:p>
    <w:p w14:paraId="068D38E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一键诊断功能</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设备能对关键部件进行一键诊断，自动判断关键部件(射线源、探测器、工控板、红外传感器、电动滚筒)的工作状态及故障信息。</w:t>
      </w:r>
    </w:p>
    <w:p w14:paraId="077C739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left"/>
        <w:textAlignment w:val="auto"/>
        <w:rPr>
          <w:rFonts w:hint="eastAsia" w:ascii="宋体" w:hAnsi="宋体" w:eastAsia="宋体" w:cs="宋体"/>
          <w:spacing w:val="0"/>
          <w:sz w:val="24"/>
          <w:szCs w:val="24"/>
        </w:rPr>
      </w:pPr>
      <w:r>
        <w:rPr>
          <w:rFonts w:hint="eastAsia" w:ascii="宋体" w:hAnsi="宋体" w:eastAsia="宋体" w:cs="宋体"/>
          <w:spacing w:val="0"/>
          <w:sz w:val="24"/>
          <w:szCs w:val="24"/>
        </w:rPr>
        <w:t>危险品图像 插入(TIP) 功能</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设备能在正常扫描生成的过包图像中随机插入危险物品图像</w:t>
      </w:r>
      <w:r>
        <w:rPr>
          <w:rFonts w:hint="eastAsia" w:ascii="宋体" w:hAnsi="宋体" w:eastAsia="宋体" w:cs="宋体"/>
          <w:spacing w:val="0"/>
          <w:sz w:val="24"/>
          <w:szCs w:val="24"/>
          <w:lang w:eastAsia="zh-CN"/>
        </w:rPr>
        <w:t>；</w:t>
      </w:r>
      <w:r>
        <w:rPr>
          <w:rFonts w:hint="eastAsia" w:ascii="宋体" w:hAnsi="宋体" w:eastAsia="宋体" w:cs="宋体"/>
          <w:spacing w:val="0"/>
          <w:sz w:val="24"/>
          <w:szCs w:val="24"/>
        </w:rPr>
        <w:t>系统管理员能设置危险品图像插入频率、各类危险品图像插入比例、开始和结束的时间以及用户范围。</w:t>
      </w:r>
    </w:p>
    <w:p w14:paraId="577D34C5">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520" w:firstLineChars="200"/>
        <w:jc w:val="left"/>
        <w:textAlignment w:val="auto"/>
        <w:rPr>
          <w:spacing w:val="-1"/>
        </w:rPr>
      </w:pPr>
      <w:r>
        <w:rPr>
          <w:spacing w:val="5"/>
        </w:rPr>
        <w:t>图像识别</w:t>
      </w:r>
      <w:r>
        <w:rPr>
          <w:spacing w:val="3"/>
        </w:rPr>
        <w:t>培训功能</w:t>
      </w:r>
      <w:r>
        <w:rPr>
          <w:rFonts w:hint="eastAsia"/>
          <w:spacing w:val="5"/>
          <w:lang w:eastAsia="zh-CN"/>
        </w:rPr>
        <w:t>：</w:t>
      </w:r>
      <w:r>
        <w:rPr>
          <w:spacing w:val="-1"/>
        </w:rPr>
        <w:t>设备具有图像识别培训功能，</w:t>
      </w:r>
      <w:r>
        <w:rPr>
          <w:spacing w:val="2"/>
        </w:rPr>
        <w:t>能在不启动传送带的情况下，以正常</w:t>
      </w:r>
      <w:r>
        <w:rPr>
          <w:spacing w:val="-1"/>
        </w:rPr>
        <w:t>检查速度显示选择的已保存图像。</w:t>
      </w:r>
    </w:p>
    <w:p w14:paraId="7280CDA4">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508" w:firstLineChars="200"/>
        <w:jc w:val="left"/>
        <w:textAlignment w:val="auto"/>
        <w:rPr>
          <w:rFonts w:hint="eastAsia"/>
          <w:spacing w:val="3"/>
          <w:lang w:eastAsia="zh-CN"/>
        </w:rPr>
      </w:pPr>
      <w:r>
        <w:rPr>
          <w:spacing w:val="2"/>
        </w:rPr>
        <w:t>图像存储</w:t>
      </w:r>
      <w:r>
        <w:rPr>
          <w:spacing w:val="3"/>
        </w:rPr>
        <w:t>格式</w:t>
      </w:r>
      <w:r>
        <w:rPr>
          <w:rFonts w:hint="eastAsia"/>
          <w:spacing w:val="3"/>
          <w:lang w:eastAsia="zh-CN"/>
        </w:rPr>
        <w:t>：</w:t>
      </w:r>
    </w:p>
    <w:p w14:paraId="1A716B0F">
      <w:pPr>
        <w:pStyle w:val="6"/>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0" w:leftChars="0" w:firstLine="496" w:firstLineChars="200"/>
        <w:jc w:val="left"/>
        <w:textAlignment w:val="auto"/>
        <w:rPr>
          <w:spacing w:val="16"/>
        </w:rPr>
      </w:pPr>
      <w:r>
        <w:rPr>
          <w:spacing w:val="-1"/>
        </w:rPr>
        <w:t>通过生产厂家专用软件</w:t>
      </w:r>
      <w:r>
        <w:rPr>
          <w:spacing w:val="5"/>
        </w:rPr>
        <w:t xml:space="preserve"> </w:t>
      </w:r>
      <w:r>
        <w:t>以离线方式再现图像，图像处理功能</w:t>
      </w:r>
      <w:r>
        <w:rPr>
          <w:spacing w:val="11"/>
        </w:rPr>
        <w:t xml:space="preserve"> </w:t>
      </w:r>
      <w:r>
        <w:rPr>
          <w:spacing w:val="16"/>
        </w:rPr>
        <w:t>与设备功能相同；</w:t>
      </w:r>
    </w:p>
    <w:p w14:paraId="4194645F">
      <w:pPr>
        <w:pStyle w:val="6"/>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0" w:leftChars="0" w:firstLine="496" w:firstLineChars="200"/>
        <w:jc w:val="left"/>
        <w:textAlignment w:val="auto"/>
        <w:rPr>
          <w:rFonts w:hint="eastAsia"/>
          <w:spacing w:val="16"/>
          <w:lang w:eastAsia="zh-CN"/>
        </w:rPr>
      </w:pPr>
      <w:r>
        <w:rPr>
          <w:spacing w:val="-1"/>
        </w:rPr>
        <w:t>能将图像的原始数据转换成通用的图像格式</w:t>
      </w:r>
      <w:r>
        <w:rPr>
          <w:rFonts w:hint="eastAsia"/>
          <w:spacing w:val="-1"/>
          <w:lang w:eastAsia="zh-CN"/>
        </w:rPr>
        <w:t>（</w:t>
      </w:r>
      <w:r>
        <w:rPr>
          <w:spacing w:val="-6"/>
        </w:rPr>
        <w:t>BMP、JPG、</w:t>
      </w:r>
      <w:r>
        <w:rPr>
          <w:spacing w:val="6"/>
        </w:rPr>
        <w:t xml:space="preserve"> </w:t>
      </w:r>
      <w:r>
        <w:rPr>
          <w:spacing w:val="-1"/>
        </w:rPr>
        <w:t>GIF、PNG</w:t>
      </w:r>
      <w:r>
        <w:rPr>
          <w:rFonts w:hint="eastAsia"/>
          <w:spacing w:val="-1"/>
          <w:lang w:eastAsia="zh-CN"/>
        </w:rPr>
        <w:t>）</w:t>
      </w:r>
      <w:r>
        <w:rPr>
          <w:spacing w:val="-1"/>
        </w:rPr>
        <w:t>。</w:t>
      </w:r>
    </w:p>
    <w:p w14:paraId="1360DA3B">
      <w:pPr>
        <w:pStyle w:val="6"/>
        <w:keepNext w:val="0"/>
        <w:keepLines w:val="0"/>
        <w:pageBreakBefore w:val="0"/>
        <w:widowControl w:val="0"/>
        <w:kinsoku/>
        <w:wordWrap/>
        <w:overflowPunct/>
        <w:topLinePunct w:val="0"/>
        <w:autoSpaceDE/>
        <w:autoSpaceDN/>
        <w:bidi w:val="0"/>
        <w:adjustRightInd/>
        <w:snapToGrid w:val="0"/>
        <w:spacing w:line="360" w:lineRule="auto"/>
        <w:ind w:left="0" w:leftChars="0" w:firstLine="488" w:firstLineChars="200"/>
        <w:jc w:val="left"/>
        <w:textAlignment w:val="auto"/>
        <w:rPr>
          <w:rFonts w:hint="eastAsia"/>
          <w:spacing w:val="2"/>
          <w:lang w:eastAsia="zh-CN"/>
        </w:rPr>
      </w:pPr>
      <w:r>
        <w:rPr>
          <w:spacing w:val="-3"/>
        </w:rPr>
        <w:t>联网远程</w:t>
      </w:r>
      <w:r>
        <w:rPr>
          <w:spacing w:val="2"/>
        </w:rPr>
        <w:t>功能</w:t>
      </w:r>
      <w:r>
        <w:rPr>
          <w:rFonts w:hint="eastAsia"/>
          <w:spacing w:val="2"/>
          <w:lang w:eastAsia="zh-CN"/>
        </w:rPr>
        <w:t>：</w:t>
      </w:r>
    </w:p>
    <w:p w14:paraId="78691B98">
      <w:pPr>
        <w:pStyle w:val="6"/>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00" w:firstLineChars="200"/>
        <w:jc w:val="left"/>
        <w:textAlignment w:val="auto"/>
        <w:rPr>
          <w:rFonts w:hint="eastAsia"/>
          <w:spacing w:val="2"/>
          <w:lang w:eastAsia="zh-CN"/>
        </w:rPr>
      </w:pPr>
      <w:r>
        <w:t>设备具备联网功能，支持通过</w:t>
      </w:r>
      <w:r>
        <w:rPr>
          <w:spacing w:val="-5"/>
        </w:rPr>
        <w:t>网络接口远程连接外部设备/系统，与</w:t>
      </w:r>
      <w:r>
        <w:rPr>
          <w:spacing w:val="1"/>
        </w:rPr>
        <w:t>远程客户端进行图像传输、信息交互、</w:t>
      </w:r>
      <w:r>
        <w:rPr>
          <w:spacing w:val="-6"/>
        </w:rPr>
        <w:t>远程控制电动滚筒、远程获取设备运</w:t>
      </w:r>
      <w:r>
        <w:rPr>
          <w:spacing w:val="1"/>
        </w:rPr>
        <w:t>行状态、进行集中管理和控制等联网</w:t>
      </w:r>
      <w:r>
        <w:rPr>
          <w:spacing w:val="-2"/>
        </w:rPr>
        <w:t>操作。</w:t>
      </w:r>
    </w:p>
    <w:p w14:paraId="70391A7E">
      <w:pPr>
        <w:pStyle w:val="6"/>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00" w:firstLineChars="200"/>
        <w:jc w:val="left"/>
        <w:textAlignment w:val="auto"/>
        <w:rPr>
          <w:rFonts w:hint="eastAsia"/>
          <w:spacing w:val="2"/>
          <w:lang w:eastAsia="zh-CN"/>
        </w:rPr>
      </w:pPr>
      <w:r>
        <w:t>设备支持远程客户端对设备校</w:t>
      </w:r>
      <w:r>
        <w:rPr>
          <w:spacing w:val="-2"/>
        </w:rPr>
        <w:t>时。</w:t>
      </w:r>
    </w:p>
    <w:p w14:paraId="62CF8407">
      <w:pPr>
        <w:pStyle w:val="6"/>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04" w:firstLineChars="200"/>
        <w:jc w:val="left"/>
        <w:textAlignment w:val="auto"/>
        <w:rPr>
          <w:rFonts w:hint="eastAsia"/>
          <w:spacing w:val="2"/>
          <w:lang w:eastAsia="zh-CN"/>
        </w:rPr>
      </w:pPr>
      <w:r>
        <w:rPr>
          <w:spacing w:val="1"/>
        </w:rPr>
        <w:t>设备能通过</w:t>
      </w:r>
      <w:r>
        <w:t>TCP</w:t>
      </w:r>
      <w:r>
        <w:rPr>
          <w:spacing w:val="1"/>
        </w:rPr>
        <w:t>/</w:t>
      </w:r>
      <w:r>
        <w:t>IP</w:t>
      </w:r>
      <w:r>
        <w:rPr>
          <w:spacing w:val="1"/>
        </w:rPr>
        <w:t>方式将扫描图像以</w:t>
      </w:r>
      <w:r>
        <w:t>JPG</w:t>
      </w:r>
      <w:r>
        <w:rPr>
          <w:spacing w:val="1"/>
        </w:rPr>
        <w:t>或其他图像格式传输至指</w:t>
      </w:r>
      <w:r>
        <w:rPr>
          <w:spacing w:val="-1"/>
        </w:rPr>
        <w:t>定客户端或服务器。</w:t>
      </w:r>
    </w:p>
    <w:p w14:paraId="4EFE58FB">
      <w:pPr>
        <w:pStyle w:val="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532" w:firstLineChars="200"/>
        <w:jc w:val="left"/>
        <w:textAlignment w:val="auto"/>
        <w:rPr>
          <w:rFonts w:hint="eastAsia"/>
          <w:spacing w:val="2"/>
          <w:sz w:val="26"/>
          <w:szCs w:val="26"/>
          <w:lang w:eastAsia="zh-CN"/>
        </w:rPr>
      </w:pPr>
      <w:r>
        <w:rPr>
          <w:spacing w:val="3"/>
          <w:sz w:val="26"/>
          <w:szCs w:val="26"/>
        </w:rPr>
        <w:t>图像连续</w:t>
      </w:r>
      <w:r>
        <w:rPr>
          <w:spacing w:val="2"/>
          <w:sz w:val="26"/>
          <w:szCs w:val="26"/>
        </w:rPr>
        <w:t>显示</w:t>
      </w:r>
      <w:r>
        <w:rPr>
          <w:rFonts w:hint="eastAsia"/>
          <w:spacing w:val="2"/>
          <w:sz w:val="26"/>
          <w:szCs w:val="26"/>
          <w:lang w:eastAsia="zh-CN"/>
        </w:rPr>
        <w:t>：具备输送装置控制功能的单视角、双视角透射式设备，被检对象停在通道内任意位置，再次启动输送装置应保证X射线图像完整。</w:t>
      </w:r>
    </w:p>
    <w:p w14:paraId="3268825E">
      <w:pPr>
        <w:pStyle w:val="6"/>
        <w:keepNext w:val="0"/>
        <w:keepLines w:val="0"/>
        <w:pageBreakBefore w:val="0"/>
        <w:widowControl w:val="0"/>
        <w:kinsoku/>
        <w:wordWrap/>
        <w:overflowPunct/>
        <w:topLinePunct w:val="0"/>
        <w:autoSpaceDE/>
        <w:autoSpaceDN/>
        <w:bidi w:val="0"/>
        <w:adjustRightInd/>
        <w:snapToGrid w:val="0"/>
        <w:spacing w:line="360" w:lineRule="auto"/>
        <w:ind w:left="0" w:firstLine="508" w:firstLineChars="200"/>
        <w:jc w:val="left"/>
        <w:textAlignment w:val="auto"/>
      </w:pPr>
      <w:r>
        <w:rPr>
          <w:spacing w:val="2"/>
        </w:rPr>
        <w:t>材料分辨</w:t>
      </w:r>
      <w:r>
        <w:rPr>
          <w:spacing w:val="4"/>
        </w:rPr>
        <w:t>图像周期</w:t>
      </w:r>
      <w:r>
        <w:rPr>
          <w:spacing w:val="3"/>
        </w:rPr>
        <w:t>显示功能</w:t>
      </w:r>
      <w:r>
        <w:rPr>
          <w:rFonts w:hint="eastAsia"/>
          <w:spacing w:val="3"/>
          <w:lang w:eastAsia="zh-CN"/>
        </w:rPr>
        <w:t>：</w:t>
      </w:r>
      <w:r>
        <w:rPr>
          <w:spacing w:val="1"/>
        </w:rPr>
        <w:t>设备具有材料分辨图像周期显</w:t>
      </w:r>
      <w:r>
        <w:t>示功能。点击软件界面的图像扫描菜单或按下操作台的相应按键后，设备能按有机物突出显示图像、混合物突出显示图像、无机物突出显示图像的顺序周期性变化显示物体图像。</w:t>
      </w:r>
    </w:p>
    <w:p w14:paraId="6E4E41A7">
      <w:pPr>
        <w:pStyle w:val="6"/>
        <w:keepNext w:val="0"/>
        <w:keepLines w:val="0"/>
        <w:pageBreakBefore w:val="0"/>
        <w:widowControl w:val="0"/>
        <w:kinsoku/>
        <w:wordWrap/>
        <w:overflowPunct/>
        <w:topLinePunct w:val="0"/>
        <w:autoSpaceDE/>
        <w:autoSpaceDN/>
        <w:bidi w:val="0"/>
        <w:adjustRightInd/>
        <w:snapToGrid w:val="0"/>
        <w:spacing w:line="360" w:lineRule="auto"/>
        <w:ind w:left="0" w:firstLine="508" w:firstLineChars="200"/>
        <w:jc w:val="left"/>
        <w:textAlignment w:val="auto"/>
        <w:rPr>
          <w:rFonts w:hint="eastAsia"/>
          <w:spacing w:val="1"/>
          <w:lang w:eastAsia="zh-CN"/>
        </w:rPr>
      </w:pPr>
      <w:r>
        <w:rPr>
          <w:spacing w:val="2"/>
        </w:rPr>
        <w:t>高能</w:t>
      </w:r>
      <w:r>
        <w:rPr>
          <w:rFonts w:hint="eastAsia"/>
          <w:spacing w:val="2"/>
          <w:lang w:eastAsia="zh-CN"/>
        </w:rPr>
        <w:t>、</w:t>
      </w:r>
      <w:r>
        <w:rPr>
          <w:spacing w:val="-2"/>
        </w:rPr>
        <w:t>低能穿透</w:t>
      </w:r>
      <w:r>
        <w:rPr>
          <w:spacing w:val="3"/>
        </w:rPr>
        <w:t>加强功能</w:t>
      </w:r>
      <w:r>
        <w:rPr>
          <w:rFonts w:hint="eastAsia"/>
          <w:spacing w:val="3"/>
          <w:lang w:eastAsia="zh-CN"/>
        </w:rPr>
        <w:t>：</w:t>
      </w:r>
      <w:r>
        <w:rPr>
          <w:spacing w:val="-1"/>
        </w:rPr>
        <w:t>设备具有高能穿透加强功能，</w:t>
      </w:r>
      <w:r>
        <w:rPr>
          <w:spacing w:val="1"/>
        </w:rPr>
        <w:t>能加强高X射线吸收率的易穿透物质部分的图像细节</w:t>
      </w:r>
      <w:r>
        <w:rPr>
          <w:rFonts w:hint="eastAsia"/>
          <w:spacing w:val="1"/>
          <w:lang w:eastAsia="zh-CN"/>
        </w:rPr>
        <w:t>；</w:t>
      </w:r>
      <w:r>
        <w:rPr>
          <w:spacing w:val="-1"/>
        </w:rPr>
        <w:t>具有低能穿透加强功能，</w:t>
      </w:r>
      <w:r>
        <w:rPr>
          <w:spacing w:val="1"/>
        </w:rPr>
        <w:t>能加强低X射线吸收率的难穿透物质部分的图像细节</w:t>
      </w:r>
      <w:r>
        <w:rPr>
          <w:rFonts w:hint="eastAsia"/>
          <w:spacing w:val="1"/>
          <w:lang w:eastAsia="zh-CN"/>
        </w:rPr>
        <w:t>。</w:t>
      </w:r>
    </w:p>
    <w:p w14:paraId="0F95026C">
      <w:pPr>
        <w:pStyle w:val="6"/>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b/>
          <w:bCs/>
          <w:spacing w:val="1"/>
          <w:sz w:val="28"/>
          <w:szCs w:val="28"/>
          <w:lang w:val="en-US" w:eastAsia="zh-CN"/>
        </w:rPr>
      </w:pPr>
      <w:r>
        <w:rPr>
          <w:rFonts w:hint="eastAsia"/>
          <w:b/>
          <w:bCs/>
          <w:spacing w:val="1"/>
          <w:sz w:val="28"/>
          <w:szCs w:val="28"/>
          <w:lang w:val="en-US" w:eastAsia="zh-CN"/>
        </w:rPr>
        <w:t>产品配置</w:t>
      </w:r>
    </w:p>
    <w:p w14:paraId="42F2C050">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auto"/>
        <w:rPr>
          <w:rFonts w:hint="eastAsia"/>
          <w:b w:val="0"/>
          <w:bCs w:val="0"/>
          <w:spacing w:val="1"/>
          <w:sz w:val="24"/>
          <w:szCs w:val="24"/>
          <w:lang w:val="en-US" w:eastAsia="zh-CN"/>
        </w:rPr>
      </w:pPr>
      <w:r>
        <w:rPr>
          <w:rFonts w:hint="eastAsia"/>
          <w:b w:val="0"/>
          <w:bCs w:val="0"/>
          <w:spacing w:val="1"/>
          <w:sz w:val="24"/>
          <w:szCs w:val="24"/>
          <w:lang w:val="en-US" w:eastAsia="zh-CN"/>
        </w:rPr>
        <w:t>6.1</w:t>
      </w:r>
    </w:p>
    <w:tbl>
      <w:tblPr>
        <w:tblStyle w:val="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84"/>
        <w:gridCol w:w="2479"/>
        <w:gridCol w:w="3578"/>
        <w:gridCol w:w="1081"/>
      </w:tblGrid>
      <w:tr w14:paraId="193CA1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21F6EA47">
            <w:pPr>
              <w:autoSpaceDN w:val="0"/>
              <w:snapToGrid/>
              <w:ind w:firstLine="0"/>
              <w:jc w:val="center"/>
              <w:rPr>
                <w:rFonts w:hint="eastAsia" w:ascii="宋体" w:hAnsi="宋体" w:eastAsia="宋体" w:cs="宋体"/>
                <w:bCs/>
                <w:sz w:val="24"/>
                <w:szCs w:val="24"/>
              </w:rPr>
            </w:pPr>
            <w:r>
              <w:rPr>
                <w:rFonts w:hint="eastAsia" w:ascii="宋体" w:hAnsi="宋体" w:eastAsia="宋体" w:cs="宋体"/>
                <w:sz w:val="24"/>
                <w:szCs w:val="24"/>
              </w:rPr>
              <w:t>序号</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0381FBD0">
            <w:pPr>
              <w:autoSpaceDN w:val="0"/>
              <w:ind w:firstLine="560"/>
              <w:jc w:val="center"/>
              <w:rPr>
                <w:rFonts w:hint="eastAsia" w:ascii="宋体" w:hAnsi="宋体" w:eastAsia="宋体" w:cs="宋体"/>
                <w:bCs/>
                <w:sz w:val="24"/>
                <w:szCs w:val="24"/>
              </w:rPr>
            </w:pPr>
            <w:r>
              <w:rPr>
                <w:rFonts w:hint="eastAsia" w:ascii="宋体" w:hAnsi="宋体" w:eastAsia="宋体" w:cs="宋体"/>
                <w:sz w:val="24"/>
                <w:szCs w:val="24"/>
              </w:rPr>
              <w:t>项目</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78AFD2E8">
            <w:pPr>
              <w:autoSpaceDN w:val="0"/>
              <w:ind w:firstLine="560"/>
              <w:jc w:val="center"/>
              <w:rPr>
                <w:rFonts w:hint="eastAsia" w:ascii="宋体" w:hAnsi="宋体" w:eastAsia="宋体" w:cs="宋体"/>
                <w:bCs/>
                <w:sz w:val="24"/>
                <w:szCs w:val="24"/>
              </w:rPr>
            </w:pPr>
            <w:r>
              <w:rPr>
                <w:rFonts w:hint="eastAsia" w:ascii="宋体" w:hAnsi="宋体" w:eastAsia="宋体" w:cs="宋体"/>
                <w:sz w:val="24"/>
                <w:szCs w:val="24"/>
              </w:rPr>
              <w:t>要求</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57237C53">
            <w:pPr>
              <w:autoSpaceDN w:val="0"/>
              <w:snapToGrid/>
              <w:ind w:firstLine="0"/>
              <w:jc w:val="center"/>
              <w:rPr>
                <w:rFonts w:hint="eastAsia" w:ascii="宋体" w:hAnsi="宋体" w:eastAsia="宋体" w:cs="宋体"/>
                <w:bCs/>
                <w:sz w:val="24"/>
                <w:szCs w:val="24"/>
              </w:rPr>
            </w:pPr>
            <w:r>
              <w:rPr>
                <w:rFonts w:hint="eastAsia" w:ascii="宋体" w:hAnsi="宋体" w:eastAsia="宋体" w:cs="宋体"/>
                <w:sz w:val="24"/>
                <w:szCs w:val="24"/>
              </w:rPr>
              <w:t>数量</w:t>
            </w:r>
          </w:p>
        </w:tc>
      </w:tr>
      <w:tr w14:paraId="4B0ADE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7261F9CA">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.1.1</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4CC88986">
            <w:pPr>
              <w:autoSpaceDN w:val="0"/>
              <w:jc w:val="center"/>
              <w:rPr>
                <w:rFonts w:hint="eastAsia" w:ascii="宋体" w:hAnsi="宋体" w:eastAsia="宋体" w:cs="宋体"/>
                <w:bCs/>
                <w:sz w:val="24"/>
                <w:szCs w:val="24"/>
              </w:rPr>
            </w:pPr>
            <w:r>
              <w:rPr>
                <w:rFonts w:hint="eastAsia" w:ascii="宋体" w:hAnsi="宋体" w:eastAsia="宋体" w:cs="宋体"/>
                <w:sz w:val="24"/>
                <w:szCs w:val="24"/>
              </w:rPr>
              <w:t>X射线检查系统</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00702673">
            <w:pPr>
              <w:autoSpaceDN w:val="0"/>
              <w:ind w:firstLine="560"/>
              <w:jc w:val="center"/>
              <w:rPr>
                <w:rFonts w:hint="eastAsia" w:ascii="宋体" w:hAnsi="宋体" w:eastAsia="宋体" w:cs="宋体"/>
                <w:bCs/>
                <w:sz w:val="24"/>
                <w:szCs w:val="24"/>
              </w:rPr>
            </w:pPr>
            <w:r>
              <w:rPr>
                <w:rFonts w:hint="eastAsia" w:ascii="宋体" w:hAnsi="宋体" w:eastAsia="宋体" w:cs="宋体"/>
                <w:sz w:val="24"/>
                <w:szCs w:val="24"/>
              </w:rPr>
              <w:t>设备本体</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751F28B4">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台</w:t>
            </w:r>
          </w:p>
        </w:tc>
      </w:tr>
      <w:tr w14:paraId="6D4D22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69C408AF">
            <w:pPr>
              <w:autoSpaceDN w:val="0"/>
              <w:snapToGrid/>
              <w:ind w:firstLine="0"/>
              <w:jc w:val="center"/>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.1.2</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7BEE1F0A">
            <w:pPr>
              <w:autoSpaceDN w:val="0"/>
              <w:jc w:val="center"/>
              <w:rPr>
                <w:rFonts w:hint="eastAsia" w:ascii="宋体" w:hAnsi="宋体" w:eastAsia="宋体" w:cs="宋体"/>
                <w:sz w:val="24"/>
                <w:szCs w:val="24"/>
              </w:rPr>
            </w:pPr>
            <w:r>
              <w:rPr>
                <w:rFonts w:hint="eastAsia" w:ascii="宋体" w:hAnsi="宋体" w:eastAsia="宋体" w:cs="宋体"/>
                <w:sz w:val="24"/>
                <w:szCs w:val="24"/>
              </w:rPr>
              <w:t>工业控制机</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75D14590">
            <w:pPr>
              <w:autoSpaceDN w:val="0"/>
              <w:ind w:firstLine="560"/>
              <w:jc w:val="center"/>
              <w:rPr>
                <w:rFonts w:hint="eastAsia" w:ascii="宋体" w:hAnsi="宋体" w:eastAsia="宋体" w:cs="宋体"/>
                <w:sz w:val="24"/>
                <w:szCs w:val="24"/>
              </w:rPr>
            </w:pPr>
            <w:r>
              <w:rPr>
                <w:rFonts w:hint="eastAsia" w:ascii="宋体" w:hAnsi="宋体" w:eastAsia="宋体" w:cs="宋体"/>
                <w:sz w:val="24"/>
                <w:szCs w:val="24"/>
              </w:rPr>
              <w:t>用于控制设备的台式主机</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0767CD89">
            <w:pPr>
              <w:autoSpaceDN w:val="0"/>
              <w:ind w:firstLine="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台</w:t>
            </w:r>
          </w:p>
        </w:tc>
      </w:tr>
      <w:tr w14:paraId="2027F0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78112798">
            <w:pPr>
              <w:autoSpaceDN w:val="0"/>
              <w:snapToGrid/>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.1.3</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0FBEBDE1">
            <w:pPr>
              <w:autoSpaceDN w:val="0"/>
              <w:jc w:val="center"/>
              <w:rPr>
                <w:rFonts w:hint="eastAsia" w:ascii="宋体" w:hAnsi="宋体" w:eastAsia="宋体" w:cs="宋体"/>
                <w:bCs/>
                <w:sz w:val="24"/>
                <w:szCs w:val="24"/>
              </w:rPr>
            </w:pPr>
            <w:r>
              <w:rPr>
                <w:rFonts w:hint="eastAsia" w:ascii="宋体" w:hAnsi="宋体" w:eastAsia="宋体" w:cs="宋体"/>
                <w:sz w:val="24"/>
                <w:szCs w:val="24"/>
              </w:rPr>
              <w:t>显示器</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231F5434">
            <w:pPr>
              <w:autoSpaceDN w:val="0"/>
              <w:ind w:firstLine="560"/>
              <w:jc w:val="center"/>
              <w:rPr>
                <w:rFonts w:hint="eastAsia" w:ascii="宋体" w:hAnsi="宋体" w:eastAsia="宋体" w:cs="宋体"/>
                <w:sz w:val="24"/>
                <w:szCs w:val="24"/>
              </w:rPr>
            </w:pPr>
            <w:r>
              <w:rPr>
                <w:rFonts w:hint="eastAsia" w:ascii="宋体" w:hAnsi="宋体" w:eastAsia="宋体" w:cs="宋体"/>
                <w:sz w:val="24"/>
                <w:szCs w:val="24"/>
              </w:rPr>
              <w:t>27英寸及以上高分辨率彩色液晶显示器</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1DB5BD9C">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台</w:t>
            </w:r>
          </w:p>
        </w:tc>
      </w:tr>
    </w:tbl>
    <w:p w14:paraId="1979A828">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auto"/>
        <w:rPr>
          <w:rFonts w:hint="default"/>
          <w:b w:val="0"/>
          <w:bCs w:val="0"/>
          <w:spacing w:val="1"/>
          <w:sz w:val="24"/>
          <w:szCs w:val="24"/>
          <w:lang w:val="en-US" w:eastAsia="zh-CN"/>
        </w:rPr>
      </w:pPr>
    </w:p>
    <w:p w14:paraId="30DAA3AB">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auto"/>
        <w:rPr>
          <w:rFonts w:hint="eastAsia"/>
          <w:b w:val="0"/>
          <w:bCs w:val="0"/>
          <w:spacing w:val="1"/>
          <w:sz w:val="24"/>
          <w:szCs w:val="24"/>
          <w:lang w:val="en-US" w:eastAsia="zh-CN"/>
        </w:rPr>
      </w:pPr>
      <w:r>
        <w:rPr>
          <w:rFonts w:hint="eastAsia"/>
          <w:b w:val="0"/>
          <w:bCs w:val="0"/>
          <w:spacing w:val="1"/>
          <w:sz w:val="24"/>
          <w:szCs w:val="24"/>
          <w:lang w:val="en-US" w:eastAsia="zh-CN"/>
        </w:rPr>
        <w:t>6.2</w:t>
      </w:r>
    </w:p>
    <w:tbl>
      <w:tblPr>
        <w:tblStyle w:val="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84"/>
        <w:gridCol w:w="2479"/>
        <w:gridCol w:w="3578"/>
        <w:gridCol w:w="1081"/>
      </w:tblGrid>
      <w:tr w14:paraId="4B7322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6E71102F">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序号</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4B65490D">
            <w:pPr>
              <w:autoSpaceDN w:val="0"/>
              <w:jc w:val="center"/>
              <w:rPr>
                <w:rFonts w:hint="eastAsia" w:ascii="宋体" w:hAnsi="宋体" w:eastAsia="宋体" w:cs="宋体"/>
                <w:bCs/>
                <w:sz w:val="24"/>
                <w:szCs w:val="24"/>
              </w:rPr>
            </w:pPr>
            <w:r>
              <w:rPr>
                <w:rFonts w:hint="eastAsia" w:ascii="宋体" w:hAnsi="宋体" w:eastAsia="宋体" w:cs="宋体"/>
                <w:sz w:val="24"/>
                <w:szCs w:val="24"/>
              </w:rPr>
              <w:t>项目</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48F529A4">
            <w:pPr>
              <w:autoSpaceDN w:val="0"/>
              <w:jc w:val="center"/>
              <w:rPr>
                <w:rFonts w:hint="eastAsia" w:ascii="宋体" w:hAnsi="宋体" w:eastAsia="宋体" w:cs="宋体"/>
                <w:bCs/>
                <w:sz w:val="24"/>
                <w:szCs w:val="24"/>
              </w:rPr>
            </w:pPr>
            <w:r>
              <w:rPr>
                <w:rFonts w:hint="eastAsia" w:ascii="宋体" w:hAnsi="宋体" w:eastAsia="宋体" w:cs="宋体"/>
                <w:sz w:val="24"/>
                <w:szCs w:val="24"/>
              </w:rPr>
              <w:t>要求</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6E584144">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数量</w:t>
            </w:r>
          </w:p>
        </w:tc>
      </w:tr>
      <w:tr w14:paraId="1088D0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1B7B3C21">
            <w:pPr>
              <w:autoSpaceDN w:val="0"/>
              <w:ind w:firstLine="0"/>
              <w:jc w:val="center"/>
              <w:rPr>
                <w:rFonts w:hint="eastAsia" w:ascii="宋体" w:hAnsi="宋体" w:eastAsia="宋体" w:cs="宋体"/>
                <w:sz w:val="24"/>
                <w:szCs w:val="24"/>
              </w:rPr>
            </w:pPr>
            <w:r>
              <w:rPr>
                <w:rFonts w:hint="eastAsia" w:ascii="宋体" w:hAnsi="宋体" w:eastAsia="宋体" w:cs="宋体"/>
                <w:sz w:val="24"/>
                <w:szCs w:val="24"/>
              </w:rPr>
              <w:t>4.2.1</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084B38FB">
            <w:pPr>
              <w:keepNext w:val="0"/>
              <w:keepLines w:val="0"/>
              <w:pageBreakBefore w:val="0"/>
              <w:widowControl w:val="0"/>
              <w:kinsoku/>
              <w:wordWrap/>
              <w:overflowPunct/>
              <w:topLinePunct w:val="0"/>
              <w:autoSpaceDE/>
              <w:autoSpaceDN w:val="0"/>
              <w:bidi w:val="0"/>
              <w:adjustRightInd/>
              <w:snapToGrid/>
              <w:jc w:val="left"/>
              <w:textAlignment w:val="auto"/>
              <w:rPr>
                <w:rFonts w:hint="eastAsia" w:ascii="宋体" w:hAnsi="宋体" w:eastAsia="宋体" w:cs="宋体"/>
                <w:sz w:val="24"/>
                <w:szCs w:val="24"/>
              </w:rPr>
            </w:pPr>
            <w:r>
              <w:rPr>
                <w:rFonts w:hint="eastAsia" w:ascii="宋体" w:hAnsi="宋体" w:eastAsia="宋体" w:cs="宋体"/>
                <w:sz w:val="24"/>
                <w:szCs w:val="24"/>
              </w:rPr>
              <w:t>出口端配套滑板及延长架</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003CD6FB">
            <w:pPr>
              <w:keepNext w:val="0"/>
              <w:keepLines w:val="0"/>
              <w:pageBreakBefore w:val="0"/>
              <w:widowControl w:val="0"/>
              <w:kinsoku/>
              <w:wordWrap/>
              <w:overflowPunct/>
              <w:topLinePunct w:val="0"/>
              <w:autoSpaceDE/>
              <w:autoSpaceDN w:val="0"/>
              <w:bidi w:val="0"/>
              <w:adjustRightInd/>
              <w:snapToGrid/>
              <w:jc w:val="left"/>
              <w:textAlignment w:val="auto"/>
              <w:rPr>
                <w:rFonts w:hint="eastAsia" w:ascii="宋体" w:hAnsi="宋体" w:eastAsia="宋体" w:cs="宋体"/>
                <w:sz w:val="24"/>
                <w:szCs w:val="24"/>
              </w:rPr>
            </w:pPr>
            <w:r>
              <w:rPr>
                <w:rFonts w:hint="eastAsia" w:ascii="宋体" w:hAnsi="宋体" w:eastAsia="宋体" w:cs="宋体"/>
                <w:sz w:val="24"/>
                <w:szCs w:val="24"/>
                <w:highlight w:val="white"/>
              </w:rPr>
              <w:t>每套包含出口端不锈钢滑板，出口端无动力延长架</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0E0D29BC">
            <w:pPr>
              <w:autoSpaceDN w:val="0"/>
              <w:snapToGrid/>
              <w:ind w:firstLine="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套</w:t>
            </w:r>
          </w:p>
        </w:tc>
      </w:tr>
      <w:tr w14:paraId="467E86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27CE11C2">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4.2.2</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4F123738">
            <w:pPr>
              <w:keepNext w:val="0"/>
              <w:keepLines w:val="0"/>
              <w:pageBreakBefore w:val="0"/>
              <w:widowControl w:val="0"/>
              <w:kinsoku/>
              <w:wordWrap/>
              <w:overflowPunct/>
              <w:topLinePunct w:val="0"/>
              <w:autoSpaceDE/>
              <w:autoSpaceDN w:val="0"/>
              <w:bidi w:val="0"/>
              <w:adjustRightInd/>
              <w:snapToGrid/>
              <w:jc w:val="left"/>
              <w:textAlignment w:val="auto"/>
              <w:rPr>
                <w:rFonts w:hint="eastAsia" w:ascii="宋体" w:hAnsi="宋体" w:eastAsia="宋体" w:cs="宋体"/>
                <w:bCs/>
                <w:sz w:val="24"/>
                <w:szCs w:val="24"/>
              </w:rPr>
            </w:pPr>
            <w:r>
              <w:rPr>
                <w:rFonts w:hint="eastAsia" w:ascii="宋体" w:hAnsi="宋体" w:eastAsia="宋体" w:cs="宋体"/>
                <w:sz w:val="24"/>
                <w:szCs w:val="24"/>
              </w:rPr>
              <w:t>操作台</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3F57CBEC">
            <w:pPr>
              <w:keepNext w:val="0"/>
              <w:keepLines w:val="0"/>
              <w:pageBreakBefore w:val="0"/>
              <w:widowControl w:val="0"/>
              <w:kinsoku/>
              <w:wordWrap/>
              <w:overflowPunct/>
              <w:topLinePunct w:val="0"/>
              <w:autoSpaceDE/>
              <w:autoSpaceDN w:val="0"/>
              <w:bidi w:val="0"/>
              <w:adjustRightInd/>
              <w:snapToGrid/>
              <w:jc w:val="left"/>
              <w:textAlignment w:val="auto"/>
              <w:rPr>
                <w:rFonts w:hint="eastAsia" w:ascii="宋体" w:hAnsi="宋体" w:eastAsia="宋体" w:cs="宋体"/>
                <w:bCs/>
                <w:sz w:val="24"/>
                <w:szCs w:val="24"/>
              </w:rPr>
            </w:pPr>
            <w:r>
              <w:rPr>
                <w:rFonts w:hint="eastAsia" w:ascii="宋体" w:hAnsi="宋体" w:eastAsia="宋体" w:cs="宋体"/>
                <w:sz w:val="24"/>
                <w:szCs w:val="24"/>
              </w:rPr>
              <w:t>标准操作台</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3A9FC565">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个</w:t>
            </w:r>
          </w:p>
        </w:tc>
      </w:tr>
    </w:tbl>
    <w:p w14:paraId="714C8E2A">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auto"/>
        <w:rPr>
          <w:rFonts w:hint="eastAsia"/>
          <w:b w:val="0"/>
          <w:bCs w:val="0"/>
          <w:spacing w:val="1"/>
          <w:sz w:val="24"/>
          <w:szCs w:val="24"/>
          <w:lang w:val="en-US" w:eastAsia="zh-CN"/>
        </w:rPr>
      </w:pPr>
      <w:r>
        <w:rPr>
          <w:rFonts w:hint="eastAsia"/>
          <w:b w:val="0"/>
          <w:bCs w:val="0"/>
          <w:spacing w:val="1"/>
          <w:sz w:val="24"/>
          <w:szCs w:val="24"/>
          <w:lang w:val="en-US" w:eastAsia="zh-CN"/>
        </w:rPr>
        <w:t>6.3</w:t>
      </w:r>
    </w:p>
    <w:tbl>
      <w:tblPr>
        <w:tblStyle w:val="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384"/>
        <w:gridCol w:w="2479"/>
        <w:gridCol w:w="3578"/>
        <w:gridCol w:w="1081"/>
      </w:tblGrid>
      <w:tr w14:paraId="7A863C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39344807">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序号</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044C6B97">
            <w:pPr>
              <w:autoSpaceDN w:val="0"/>
              <w:jc w:val="center"/>
              <w:rPr>
                <w:rFonts w:hint="eastAsia" w:ascii="宋体" w:hAnsi="宋体" w:eastAsia="宋体" w:cs="宋体"/>
                <w:bCs/>
                <w:sz w:val="24"/>
                <w:szCs w:val="24"/>
              </w:rPr>
            </w:pPr>
            <w:r>
              <w:rPr>
                <w:rFonts w:hint="eastAsia" w:ascii="宋体" w:hAnsi="宋体" w:eastAsia="宋体" w:cs="宋体"/>
                <w:sz w:val="24"/>
                <w:szCs w:val="24"/>
              </w:rPr>
              <w:t>项目</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13967160">
            <w:pPr>
              <w:autoSpaceDN w:val="0"/>
              <w:jc w:val="center"/>
              <w:rPr>
                <w:rFonts w:hint="eastAsia" w:ascii="宋体" w:hAnsi="宋体" w:eastAsia="宋体" w:cs="宋体"/>
                <w:bCs/>
                <w:sz w:val="24"/>
                <w:szCs w:val="24"/>
              </w:rPr>
            </w:pPr>
            <w:r>
              <w:rPr>
                <w:rFonts w:hint="eastAsia" w:ascii="宋体" w:hAnsi="宋体" w:eastAsia="宋体" w:cs="宋体"/>
                <w:sz w:val="24"/>
                <w:szCs w:val="24"/>
              </w:rPr>
              <w:t>要求</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2BBDB014">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数量</w:t>
            </w:r>
          </w:p>
        </w:tc>
      </w:tr>
      <w:tr w14:paraId="51156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6A0D3461">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4.3.1</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27835399">
            <w:pPr>
              <w:autoSpaceDN w:val="0"/>
              <w:jc w:val="center"/>
              <w:rPr>
                <w:rFonts w:hint="eastAsia" w:ascii="宋体" w:hAnsi="宋体" w:eastAsia="宋体" w:cs="宋体"/>
                <w:bCs/>
                <w:sz w:val="24"/>
                <w:szCs w:val="24"/>
              </w:rPr>
            </w:pPr>
            <w:r>
              <w:rPr>
                <w:rFonts w:hint="eastAsia" w:ascii="宋体" w:hAnsi="宋体" w:eastAsia="宋体" w:cs="宋体"/>
                <w:sz w:val="24"/>
                <w:szCs w:val="24"/>
              </w:rPr>
              <w:t>操作键盘</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40930925">
            <w:pPr>
              <w:autoSpaceDN w:val="0"/>
              <w:jc w:val="center"/>
              <w:rPr>
                <w:rFonts w:hint="eastAsia" w:ascii="宋体" w:hAnsi="宋体" w:eastAsia="宋体" w:cs="宋体"/>
                <w:bCs/>
                <w:sz w:val="24"/>
                <w:szCs w:val="24"/>
              </w:rPr>
            </w:pPr>
            <w:r>
              <w:rPr>
                <w:rFonts w:hint="eastAsia" w:ascii="宋体" w:hAnsi="宋体" w:eastAsia="宋体" w:cs="宋体"/>
                <w:sz w:val="24"/>
                <w:szCs w:val="24"/>
              </w:rPr>
              <w:t>图形键盘</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1033C384">
            <w:pPr>
              <w:autoSpaceDN w:val="0"/>
              <w:snapToGrid/>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个</w:t>
            </w:r>
          </w:p>
        </w:tc>
      </w:tr>
      <w:tr w14:paraId="13136A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1384" w:type="dxa"/>
            <w:tcBorders>
              <w:top w:val="single" w:color="auto" w:sz="4" w:space="0"/>
              <w:left w:val="single" w:color="auto" w:sz="4" w:space="0"/>
              <w:bottom w:val="single" w:color="auto" w:sz="4" w:space="0"/>
              <w:right w:val="single" w:color="auto" w:sz="4" w:space="0"/>
              <w:tl2br w:val="nil"/>
              <w:tr2bl w:val="nil"/>
            </w:tcBorders>
            <w:vAlign w:val="center"/>
          </w:tcPr>
          <w:p w14:paraId="01B00FAE">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rPr>
              <w:t>4.3.2</w:t>
            </w:r>
          </w:p>
        </w:tc>
        <w:tc>
          <w:tcPr>
            <w:tcW w:w="2479" w:type="dxa"/>
            <w:tcBorders>
              <w:top w:val="single" w:color="auto" w:sz="4" w:space="0"/>
              <w:left w:val="single" w:color="auto" w:sz="4" w:space="0"/>
              <w:bottom w:val="single" w:color="auto" w:sz="4" w:space="0"/>
              <w:right w:val="single" w:color="auto" w:sz="4" w:space="0"/>
              <w:tl2br w:val="nil"/>
              <w:tr2bl w:val="nil"/>
            </w:tcBorders>
            <w:vAlign w:val="center"/>
          </w:tcPr>
          <w:p w14:paraId="001EC5E1">
            <w:pPr>
              <w:autoSpaceDN w:val="0"/>
              <w:jc w:val="center"/>
              <w:rPr>
                <w:rFonts w:hint="eastAsia" w:ascii="宋体" w:hAnsi="宋体" w:eastAsia="宋体" w:cs="宋体"/>
                <w:bCs/>
                <w:sz w:val="24"/>
                <w:szCs w:val="24"/>
              </w:rPr>
            </w:pPr>
            <w:r>
              <w:rPr>
                <w:rFonts w:hint="eastAsia" w:ascii="宋体" w:hAnsi="宋体" w:eastAsia="宋体" w:cs="宋体"/>
                <w:sz w:val="24"/>
                <w:szCs w:val="24"/>
              </w:rPr>
              <w:t>文件</w:t>
            </w:r>
          </w:p>
        </w:tc>
        <w:tc>
          <w:tcPr>
            <w:tcW w:w="3578" w:type="dxa"/>
            <w:tcBorders>
              <w:top w:val="single" w:color="auto" w:sz="4" w:space="0"/>
              <w:left w:val="single" w:color="auto" w:sz="4" w:space="0"/>
              <w:bottom w:val="single" w:color="auto" w:sz="4" w:space="0"/>
              <w:right w:val="single" w:color="auto" w:sz="4" w:space="0"/>
              <w:tl2br w:val="nil"/>
              <w:tr2bl w:val="nil"/>
            </w:tcBorders>
            <w:vAlign w:val="center"/>
          </w:tcPr>
          <w:p w14:paraId="0E27114F">
            <w:pPr>
              <w:autoSpaceDN w:val="0"/>
              <w:jc w:val="center"/>
              <w:rPr>
                <w:rFonts w:hint="eastAsia" w:ascii="宋体" w:hAnsi="宋体" w:eastAsia="宋体" w:cs="宋体"/>
                <w:bCs/>
                <w:sz w:val="24"/>
                <w:szCs w:val="24"/>
              </w:rPr>
            </w:pPr>
            <w:r>
              <w:rPr>
                <w:rFonts w:hint="eastAsia" w:ascii="宋体" w:hAnsi="宋体" w:eastAsia="宋体" w:cs="宋体"/>
                <w:sz w:val="24"/>
                <w:szCs w:val="24"/>
              </w:rPr>
              <w:t>维修手册，操作手册</w:t>
            </w:r>
          </w:p>
        </w:tc>
        <w:tc>
          <w:tcPr>
            <w:tcW w:w="1081" w:type="dxa"/>
            <w:tcBorders>
              <w:top w:val="single" w:color="auto" w:sz="4" w:space="0"/>
              <w:left w:val="single" w:color="auto" w:sz="4" w:space="0"/>
              <w:bottom w:val="single" w:color="auto" w:sz="4" w:space="0"/>
              <w:right w:val="single" w:color="auto" w:sz="4" w:space="0"/>
              <w:tl2br w:val="nil"/>
              <w:tr2bl w:val="nil"/>
            </w:tcBorders>
            <w:vAlign w:val="center"/>
          </w:tcPr>
          <w:p w14:paraId="69E9CB6D">
            <w:pPr>
              <w:autoSpaceDN w:val="0"/>
              <w:ind w:firstLine="0"/>
              <w:jc w:val="center"/>
              <w:rPr>
                <w:rFonts w:hint="eastAsia" w:ascii="宋体" w:hAnsi="宋体" w:eastAsia="宋体" w:cs="宋体"/>
                <w:bCs/>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套</w:t>
            </w:r>
          </w:p>
        </w:tc>
      </w:tr>
    </w:tbl>
    <w:p w14:paraId="6BAC5A39">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center"/>
        <w:textAlignment w:val="auto"/>
        <w:rPr>
          <w:rFonts w:hint="default"/>
          <w:b w:val="0"/>
          <w:bCs w:val="0"/>
          <w:spacing w:val="1"/>
          <w:sz w:val="24"/>
          <w:szCs w:val="24"/>
          <w:lang w:val="en-US" w:eastAsia="zh-CN"/>
        </w:rPr>
      </w:pPr>
    </w:p>
    <w:p w14:paraId="74EB0011">
      <w:pPr>
        <w:pStyle w:val="6"/>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b/>
          <w:bCs/>
          <w:spacing w:val="1"/>
          <w:sz w:val="28"/>
          <w:szCs w:val="28"/>
          <w:lang w:val="en-US" w:eastAsia="zh-CN"/>
        </w:rPr>
      </w:pPr>
      <w:r>
        <w:rPr>
          <w:rFonts w:hint="eastAsia"/>
          <w:b/>
          <w:bCs/>
          <w:spacing w:val="1"/>
          <w:sz w:val="28"/>
          <w:szCs w:val="28"/>
          <w:lang w:val="en-US" w:eastAsia="zh-CN"/>
        </w:rPr>
        <w:t>技术规格</w:t>
      </w:r>
    </w:p>
    <w:tbl>
      <w:tblPr>
        <w:tblStyle w:val="4"/>
        <w:tblW w:w="5000"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3"/>
        <w:gridCol w:w="5619"/>
      </w:tblGrid>
      <w:tr w14:paraId="5E80AC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013161C6">
            <w:pPr>
              <w:jc w:val="both"/>
              <w:rPr>
                <w:rFonts w:hint="eastAsia" w:ascii="宋体" w:hAnsi="宋体" w:eastAsia="宋体" w:cs="宋体"/>
                <w:b/>
                <w:sz w:val="24"/>
                <w:szCs w:val="24"/>
              </w:rPr>
            </w:pPr>
            <w:r>
              <w:rPr>
                <w:rFonts w:hint="eastAsia" w:ascii="宋体" w:hAnsi="宋体" w:eastAsia="宋体" w:cs="宋体"/>
                <w:b/>
                <w:sz w:val="24"/>
                <w:szCs w:val="24"/>
              </w:rPr>
              <w:t>基本技术指标</w:t>
            </w:r>
          </w:p>
        </w:tc>
      </w:tr>
      <w:tr w14:paraId="2C3770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95B982C">
            <w:pPr>
              <w:jc w:val="both"/>
              <w:rPr>
                <w:rFonts w:hint="eastAsia" w:ascii="宋体" w:hAnsi="宋体" w:eastAsia="宋体" w:cs="宋体"/>
                <w:sz w:val="24"/>
                <w:szCs w:val="24"/>
              </w:rPr>
            </w:pPr>
            <w:r>
              <w:rPr>
                <w:rFonts w:hint="eastAsia" w:ascii="宋体" w:hAnsi="宋体" w:eastAsia="宋体" w:cs="宋体"/>
                <w:sz w:val="24"/>
                <w:szCs w:val="24"/>
              </w:rPr>
              <w:t>通道尺寸</w:t>
            </w:r>
          </w:p>
        </w:tc>
        <w:tc>
          <w:tcPr>
            <w:tcW w:w="3296" w:type="pct"/>
            <w:vAlign w:val="center"/>
          </w:tcPr>
          <w:p w14:paraId="19E974ED">
            <w:pPr>
              <w:jc w:val="both"/>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lang w:val="en-US" w:eastAsia="zh-CN"/>
              </w:rPr>
              <w:t>06</w:t>
            </w:r>
            <w:r>
              <w:rPr>
                <w:rFonts w:hint="eastAsia" w:ascii="宋体" w:hAnsi="宋体" w:eastAsia="宋体" w:cs="宋体"/>
                <w:sz w:val="24"/>
                <w:szCs w:val="24"/>
              </w:rPr>
              <w:t>毫米（宽）×100</w:t>
            </w:r>
            <w:r>
              <w:rPr>
                <w:rFonts w:hint="eastAsia" w:ascii="宋体" w:hAnsi="宋体" w:eastAsia="宋体" w:cs="宋体"/>
                <w:sz w:val="24"/>
                <w:szCs w:val="24"/>
                <w:lang w:val="en-US" w:eastAsia="zh-CN"/>
              </w:rPr>
              <w:t>6</w:t>
            </w:r>
            <w:r>
              <w:rPr>
                <w:rFonts w:hint="eastAsia" w:ascii="宋体" w:hAnsi="宋体" w:eastAsia="宋体" w:cs="宋体"/>
                <w:sz w:val="24"/>
                <w:szCs w:val="24"/>
              </w:rPr>
              <w:t>毫米（高）</w:t>
            </w:r>
          </w:p>
        </w:tc>
      </w:tr>
      <w:tr w14:paraId="6FB9E6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65E8A3BB">
            <w:pPr>
              <w:jc w:val="both"/>
              <w:rPr>
                <w:rFonts w:hint="eastAsia" w:ascii="宋体" w:hAnsi="宋体" w:eastAsia="宋体" w:cs="宋体"/>
                <w:sz w:val="24"/>
                <w:szCs w:val="24"/>
              </w:rPr>
            </w:pPr>
            <w:r>
              <w:rPr>
                <w:rFonts w:hint="eastAsia" w:ascii="宋体" w:hAnsi="宋体" w:eastAsia="宋体" w:cs="宋体"/>
                <w:sz w:val="24"/>
                <w:szCs w:val="24"/>
              </w:rPr>
              <w:t>传送速度</w:t>
            </w:r>
          </w:p>
        </w:tc>
        <w:tc>
          <w:tcPr>
            <w:tcW w:w="3296" w:type="pct"/>
            <w:vAlign w:val="center"/>
          </w:tcPr>
          <w:p w14:paraId="28DE3592">
            <w:pPr>
              <w:jc w:val="both"/>
              <w:rPr>
                <w:rFonts w:hint="eastAsia" w:ascii="宋体" w:hAnsi="宋体" w:eastAsia="宋体" w:cs="宋体"/>
                <w:sz w:val="24"/>
                <w:szCs w:val="24"/>
              </w:rPr>
            </w:pPr>
            <w:r>
              <w:rPr>
                <w:rFonts w:hint="eastAsia" w:ascii="宋体" w:hAnsi="宋体" w:eastAsia="宋体" w:cs="宋体"/>
                <w:sz w:val="24"/>
                <w:szCs w:val="24"/>
              </w:rPr>
              <w:t>0.2m/s~0.</w:t>
            </w:r>
            <w:r>
              <w:rPr>
                <w:rFonts w:hint="eastAsia" w:ascii="宋体" w:hAnsi="宋体" w:eastAsia="宋体" w:cs="宋体"/>
                <w:sz w:val="24"/>
                <w:szCs w:val="24"/>
                <w:lang w:val="en-US" w:eastAsia="zh-CN"/>
              </w:rPr>
              <w:t>8</w:t>
            </w:r>
            <w:r>
              <w:rPr>
                <w:rFonts w:hint="eastAsia" w:ascii="宋体" w:hAnsi="宋体" w:eastAsia="宋体" w:cs="宋体"/>
                <w:sz w:val="24"/>
                <w:szCs w:val="24"/>
              </w:rPr>
              <w:t>m/s，可调</w:t>
            </w:r>
          </w:p>
        </w:tc>
      </w:tr>
      <w:tr w14:paraId="48C855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49CA9D66">
            <w:pPr>
              <w:jc w:val="both"/>
              <w:rPr>
                <w:rFonts w:hint="eastAsia" w:ascii="宋体" w:hAnsi="宋体" w:eastAsia="宋体" w:cs="宋体"/>
                <w:sz w:val="24"/>
                <w:szCs w:val="24"/>
              </w:rPr>
            </w:pPr>
            <w:r>
              <w:rPr>
                <w:rFonts w:hint="eastAsia" w:ascii="宋体" w:hAnsi="宋体" w:eastAsia="宋体" w:cs="宋体"/>
                <w:sz w:val="24"/>
                <w:szCs w:val="24"/>
              </w:rPr>
              <w:t>传送带高度</w:t>
            </w:r>
          </w:p>
        </w:tc>
        <w:tc>
          <w:tcPr>
            <w:tcW w:w="3296" w:type="pct"/>
            <w:vAlign w:val="center"/>
          </w:tcPr>
          <w:p w14:paraId="7D0520CD">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301</w:t>
            </w:r>
            <w:r>
              <w:rPr>
                <w:rFonts w:hint="eastAsia" w:ascii="宋体" w:hAnsi="宋体" w:eastAsia="宋体" w:cs="宋体"/>
                <w:sz w:val="24"/>
                <w:szCs w:val="24"/>
              </w:rPr>
              <w:t>毫米</w:t>
            </w:r>
            <w:r>
              <w:rPr>
                <w:rFonts w:hint="eastAsia" w:ascii="宋体" w:hAnsi="宋体" w:eastAsia="宋体" w:cs="宋体"/>
                <w:sz w:val="24"/>
                <w:szCs w:val="24"/>
                <w:lang w:val="en-US" w:eastAsia="zh-CN"/>
              </w:rPr>
              <w:t>,</w:t>
            </w:r>
            <w:r>
              <w:rPr>
                <w:rFonts w:hint="eastAsia" w:ascii="宋体" w:hAnsi="宋体" w:eastAsia="宋体" w:cs="宋体"/>
                <w:sz w:val="24"/>
                <w:szCs w:val="24"/>
              </w:rPr>
              <w:t>高度可调</w:t>
            </w:r>
            <w:bookmarkStart w:id="0" w:name="_GoBack"/>
            <w:bookmarkEnd w:id="0"/>
          </w:p>
        </w:tc>
      </w:tr>
      <w:tr w14:paraId="34E698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4871DD02">
            <w:pPr>
              <w:jc w:val="both"/>
              <w:rPr>
                <w:rFonts w:hint="eastAsia" w:ascii="宋体" w:hAnsi="宋体" w:eastAsia="宋体" w:cs="宋体"/>
                <w:sz w:val="24"/>
                <w:szCs w:val="24"/>
              </w:rPr>
            </w:pPr>
            <w:r>
              <w:rPr>
                <w:rFonts w:hint="eastAsia" w:ascii="宋体" w:hAnsi="宋体" w:eastAsia="宋体" w:cs="宋体"/>
                <w:sz w:val="24"/>
                <w:szCs w:val="24"/>
              </w:rPr>
              <w:t>最大载荷</w:t>
            </w:r>
          </w:p>
        </w:tc>
        <w:tc>
          <w:tcPr>
            <w:tcW w:w="3296" w:type="pct"/>
            <w:vAlign w:val="center"/>
          </w:tcPr>
          <w:p w14:paraId="533860CE">
            <w:pPr>
              <w:jc w:val="both"/>
              <w:rPr>
                <w:rFonts w:hint="eastAsia" w:ascii="宋体" w:hAnsi="宋体" w:eastAsia="宋体" w:cs="宋体"/>
                <w:sz w:val="24"/>
                <w:szCs w:val="24"/>
              </w:rPr>
            </w:pPr>
            <w:r>
              <w:rPr>
                <w:rFonts w:hint="eastAsia" w:ascii="宋体" w:hAnsi="宋体" w:eastAsia="宋体" w:cs="宋体"/>
                <w:sz w:val="24"/>
                <w:szCs w:val="24"/>
                <w:lang w:val="en-US" w:eastAsia="zh-CN"/>
              </w:rPr>
              <w:t>250</w:t>
            </w:r>
            <w:r>
              <w:rPr>
                <w:rFonts w:hint="eastAsia" w:ascii="宋体" w:hAnsi="宋体" w:eastAsia="宋体" w:cs="宋体"/>
                <w:sz w:val="24"/>
                <w:szCs w:val="24"/>
              </w:rPr>
              <w:t>千克（均匀分布）</w:t>
            </w:r>
          </w:p>
        </w:tc>
      </w:tr>
      <w:tr w14:paraId="49128A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356E948D">
            <w:pPr>
              <w:jc w:val="both"/>
              <w:rPr>
                <w:rFonts w:hint="eastAsia" w:ascii="宋体" w:hAnsi="宋体" w:eastAsia="宋体" w:cs="宋体"/>
                <w:sz w:val="24"/>
                <w:szCs w:val="24"/>
              </w:rPr>
            </w:pPr>
            <w:r>
              <w:rPr>
                <w:rFonts w:hint="eastAsia" w:ascii="宋体" w:hAnsi="宋体" w:eastAsia="宋体" w:cs="宋体"/>
                <w:sz w:val="24"/>
                <w:szCs w:val="24"/>
              </w:rPr>
              <w:t>设备启动时间</w:t>
            </w:r>
          </w:p>
        </w:tc>
        <w:tc>
          <w:tcPr>
            <w:tcW w:w="3296" w:type="pct"/>
            <w:shd w:val="clear" w:color="auto" w:fill="auto"/>
            <w:vAlign w:val="center"/>
          </w:tcPr>
          <w:p w14:paraId="6C8738A6">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58秒</w:t>
            </w:r>
          </w:p>
        </w:tc>
      </w:tr>
      <w:tr w14:paraId="5776CD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3C5153B">
            <w:pPr>
              <w:jc w:val="both"/>
              <w:rPr>
                <w:rFonts w:hint="eastAsia" w:ascii="宋体" w:hAnsi="宋体" w:eastAsia="宋体" w:cs="宋体"/>
                <w:sz w:val="24"/>
                <w:szCs w:val="24"/>
              </w:rPr>
            </w:pPr>
            <w:r>
              <w:rPr>
                <w:rFonts w:hint="eastAsia" w:ascii="宋体" w:hAnsi="宋体" w:eastAsia="宋体" w:cs="宋体"/>
                <w:sz w:val="24"/>
                <w:szCs w:val="24"/>
              </w:rPr>
              <w:t>射线源数量</w:t>
            </w:r>
          </w:p>
        </w:tc>
        <w:tc>
          <w:tcPr>
            <w:tcW w:w="3296" w:type="pct"/>
            <w:vAlign w:val="center"/>
          </w:tcPr>
          <w:p w14:paraId="63AF8364">
            <w:pPr>
              <w:jc w:val="both"/>
              <w:rPr>
                <w:rFonts w:hint="eastAsia" w:ascii="宋体" w:hAnsi="宋体" w:eastAsia="宋体" w:cs="宋体"/>
                <w:sz w:val="24"/>
                <w:szCs w:val="24"/>
              </w:rPr>
            </w:pPr>
            <w:r>
              <w:rPr>
                <w:rFonts w:hint="eastAsia" w:ascii="宋体" w:hAnsi="宋体" w:eastAsia="宋体" w:cs="宋体"/>
                <w:sz w:val="24"/>
                <w:szCs w:val="24"/>
                <w:lang w:val="en-US" w:eastAsia="zh-CN"/>
              </w:rPr>
              <w:t>2</w:t>
            </w:r>
          </w:p>
        </w:tc>
      </w:tr>
      <w:tr w14:paraId="4439F9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0D81B644">
            <w:pPr>
              <w:jc w:val="both"/>
              <w:rPr>
                <w:rFonts w:hint="eastAsia" w:ascii="宋体" w:hAnsi="宋体" w:eastAsia="宋体" w:cs="宋体"/>
                <w:sz w:val="24"/>
                <w:szCs w:val="24"/>
              </w:rPr>
            </w:pPr>
            <w:r>
              <w:rPr>
                <w:rFonts w:hint="eastAsia" w:ascii="宋体" w:hAnsi="宋体" w:eastAsia="宋体" w:cs="宋体"/>
                <w:b/>
                <w:sz w:val="24"/>
                <w:szCs w:val="24"/>
              </w:rPr>
              <w:t>主要性能指标</w:t>
            </w:r>
          </w:p>
        </w:tc>
      </w:tr>
      <w:tr w14:paraId="7258DF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7F24FF62">
            <w:pPr>
              <w:jc w:val="both"/>
              <w:rPr>
                <w:rFonts w:hint="eastAsia" w:ascii="宋体" w:hAnsi="宋体" w:eastAsia="宋体" w:cs="宋体"/>
                <w:sz w:val="24"/>
                <w:szCs w:val="24"/>
              </w:rPr>
            </w:pPr>
            <w:r>
              <w:rPr>
                <w:rFonts w:hint="eastAsia" w:ascii="宋体" w:hAnsi="宋体" w:eastAsia="宋体" w:cs="宋体"/>
                <w:sz w:val="24"/>
                <w:szCs w:val="24"/>
              </w:rPr>
              <w:t>线分辨力</w:t>
            </w:r>
          </w:p>
        </w:tc>
        <w:tc>
          <w:tcPr>
            <w:tcW w:w="3296" w:type="pct"/>
            <w:vAlign w:val="center"/>
          </w:tcPr>
          <w:p w14:paraId="49663DAD">
            <w:pPr>
              <w:jc w:val="both"/>
              <w:rPr>
                <w:rFonts w:hint="eastAsia" w:ascii="宋体" w:hAnsi="宋体" w:eastAsia="宋体" w:cs="宋体"/>
                <w:sz w:val="24"/>
                <w:szCs w:val="24"/>
              </w:rPr>
            </w:pPr>
            <w:r>
              <w:rPr>
                <w:rFonts w:hint="eastAsia" w:ascii="宋体" w:hAnsi="宋体" w:eastAsia="宋体" w:cs="宋体"/>
                <w:sz w:val="24"/>
                <w:szCs w:val="24"/>
              </w:rPr>
              <w:t>AWG40</w:t>
            </w:r>
          </w:p>
        </w:tc>
      </w:tr>
      <w:tr w14:paraId="7F0DDD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5671E152">
            <w:pPr>
              <w:jc w:val="both"/>
              <w:rPr>
                <w:rFonts w:hint="eastAsia" w:ascii="宋体" w:hAnsi="宋体" w:eastAsia="宋体" w:cs="宋体"/>
                <w:sz w:val="24"/>
                <w:szCs w:val="24"/>
              </w:rPr>
            </w:pPr>
            <w:r>
              <w:rPr>
                <w:rFonts w:hint="eastAsia" w:ascii="宋体" w:hAnsi="宋体" w:eastAsia="宋体" w:cs="宋体"/>
                <w:sz w:val="24"/>
                <w:szCs w:val="24"/>
              </w:rPr>
              <w:t>穿透力（钢厚）</w:t>
            </w:r>
          </w:p>
        </w:tc>
        <w:tc>
          <w:tcPr>
            <w:tcW w:w="3296" w:type="pct"/>
            <w:vAlign w:val="center"/>
          </w:tcPr>
          <w:p w14:paraId="69DDDA55">
            <w:pPr>
              <w:jc w:val="both"/>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6</w:t>
            </w:r>
            <w:r>
              <w:rPr>
                <w:rFonts w:hint="eastAsia" w:ascii="宋体" w:hAnsi="宋体" w:eastAsia="宋体" w:cs="宋体"/>
                <w:sz w:val="24"/>
                <w:szCs w:val="24"/>
              </w:rPr>
              <w:t>毫米</w:t>
            </w:r>
          </w:p>
        </w:tc>
      </w:tr>
      <w:tr w14:paraId="4A92CD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4E8A4855">
            <w:pPr>
              <w:jc w:val="both"/>
              <w:rPr>
                <w:rFonts w:hint="eastAsia" w:ascii="宋体" w:hAnsi="宋体" w:eastAsia="宋体" w:cs="宋体"/>
                <w:sz w:val="24"/>
                <w:szCs w:val="24"/>
              </w:rPr>
            </w:pPr>
            <w:r>
              <w:rPr>
                <w:rFonts w:hint="eastAsia" w:ascii="宋体" w:hAnsi="宋体" w:eastAsia="宋体" w:cs="宋体"/>
                <w:sz w:val="24"/>
                <w:szCs w:val="24"/>
              </w:rPr>
              <w:t>穿透分辨力</w:t>
            </w:r>
          </w:p>
        </w:tc>
        <w:tc>
          <w:tcPr>
            <w:tcW w:w="3296" w:type="pct"/>
            <w:vAlign w:val="center"/>
          </w:tcPr>
          <w:p w14:paraId="0B045A79">
            <w:pPr>
              <w:jc w:val="both"/>
              <w:rPr>
                <w:rFonts w:hint="eastAsia" w:ascii="宋体" w:hAnsi="宋体" w:eastAsia="宋体" w:cs="宋体"/>
                <w:sz w:val="24"/>
                <w:szCs w:val="24"/>
              </w:rPr>
            </w:pPr>
            <w:r>
              <w:rPr>
                <w:rFonts w:hint="eastAsia" w:ascii="宋体" w:hAnsi="宋体" w:eastAsia="宋体" w:cs="宋体"/>
                <w:sz w:val="24"/>
                <w:szCs w:val="24"/>
              </w:rPr>
              <w:t>能分辨厚度为9.5mm、15.9mm和22.2mm合金铝阶梯下最小单根实芯铜线直径，典型值和应用值应达到GB15208.2-2018标准要求的II级标准，即标称直径应</w:t>
            </w:r>
            <w:r>
              <w:rPr>
                <w:rFonts w:hint="eastAsia" w:ascii="宋体" w:hAnsi="宋体" w:cs="宋体"/>
                <w:sz w:val="24"/>
                <w:szCs w:val="24"/>
                <w:lang w:val="en-US" w:eastAsia="zh-CN"/>
              </w:rPr>
              <w:t>0.127</w:t>
            </w:r>
            <w:r>
              <w:rPr>
                <w:rFonts w:hint="eastAsia" w:ascii="宋体" w:hAnsi="宋体" w:eastAsia="宋体" w:cs="宋体"/>
                <w:sz w:val="24"/>
                <w:szCs w:val="24"/>
              </w:rPr>
              <w:t>mm(AWG30)。</w:t>
            </w:r>
          </w:p>
        </w:tc>
      </w:tr>
      <w:tr w14:paraId="09A461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632BD468">
            <w:pPr>
              <w:jc w:val="both"/>
              <w:rPr>
                <w:rFonts w:hint="eastAsia" w:ascii="宋体" w:hAnsi="宋体" w:eastAsia="宋体" w:cs="宋体"/>
                <w:sz w:val="24"/>
                <w:szCs w:val="24"/>
              </w:rPr>
            </w:pPr>
            <w:r>
              <w:rPr>
                <w:rFonts w:hint="eastAsia" w:ascii="宋体" w:hAnsi="宋体" w:eastAsia="宋体" w:cs="宋体"/>
                <w:sz w:val="24"/>
                <w:szCs w:val="24"/>
              </w:rPr>
              <w:t>空间分辨力</w:t>
            </w:r>
          </w:p>
        </w:tc>
        <w:tc>
          <w:tcPr>
            <w:tcW w:w="3296" w:type="pct"/>
            <w:vAlign w:val="center"/>
          </w:tcPr>
          <w:p w14:paraId="06F7894E">
            <w:pPr>
              <w:jc w:val="both"/>
              <w:rPr>
                <w:rFonts w:hint="eastAsia" w:ascii="宋体" w:hAnsi="宋体" w:eastAsia="宋体" w:cs="宋体"/>
                <w:sz w:val="24"/>
                <w:szCs w:val="24"/>
              </w:rPr>
            </w:pPr>
            <w:r>
              <w:rPr>
                <w:rFonts w:hint="eastAsia" w:ascii="宋体" w:hAnsi="宋体" w:eastAsia="宋体" w:cs="宋体"/>
                <w:sz w:val="24"/>
                <w:szCs w:val="24"/>
              </w:rPr>
              <w:t>分辨标称值</w:t>
            </w:r>
            <w:r>
              <w:rPr>
                <w:rFonts w:hint="eastAsia" w:ascii="宋体" w:hAnsi="宋体" w:eastAsia="宋体" w:cs="宋体"/>
                <w:sz w:val="24"/>
                <w:szCs w:val="24"/>
                <w:lang w:val="en-US" w:eastAsia="zh-CN"/>
              </w:rPr>
              <w:t>0.8</w:t>
            </w:r>
            <w:r>
              <w:rPr>
                <w:rFonts w:hint="eastAsia" w:ascii="宋体" w:hAnsi="宋体" w:eastAsia="宋体" w:cs="宋体"/>
                <w:sz w:val="24"/>
                <w:szCs w:val="24"/>
              </w:rPr>
              <w:t xml:space="preserve">线对/mm </w:t>
            </w:r>
          </w:p>
        </w:tc>
      </w:tr>
      <w:tr w14:paraId="23B5AE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51E50978">
            <w:pPr>
              <w:jc w:val="both"/>
              <w:rPr>
                <w:rFonts w:hint="eastAsia" w:ascii="宋体" w:hAnsi="宋体" w:eastAsia="宋体" w:cs="宋体"/>
                <w:sz w:val="24"/>
                <w:szCs w:val="24"/>
              </w:rPr>
            </w:pPr>
            <w:r>
              <w:rPr>
                <w:rFonts w:hint="eastAsia" w:ascii="宋体" w:hAnsi="宋体" w:eastAsia="宋体" w:cs="宋体"/>
                <w:sz w:val="24"/>
                <w:szCs w:val="24"/>
              </w:rPr>
              <w:t>单次检查剂量</w:t>
            </w:r>
          </w:p>
        </w:tc>
        <w:tc>
          <w:tcPr>
            <w:tcW w:w="3296" w:type="pct"/>
            <w:vAlign w:val="center"/>
          </w:tcPr>
          <w:p w14:paraId="5AA915C9">
            <w:pPr>
              <w:jc w:val="both"/>
              <w:rPr>
                <w:rFonts w:hint="eastAsia" w:ascii="宋体" w:hAnsi="宋体" w:eastAsia="宋体" w:cs="宋体"/>
                <w:sz w:val="24"/>
                <w:szCs w:val="24"/>
              </w:rPr>
            </w:pPr>
            <w:r>
              <w:rPr>
                <w:rFonts w:hint="eastAsia" w:ascii="宋体" w:hAnsi="宋体" w:eastAsia="宋体" w:cs="宋体"/>
                <w:sz w:val="24"/>
                <w:szCs w:val="24"/>
              </w:rPr>
              <w:t>1.6</w:t>
            </w:r>
            <w:r>
              <w:rPr>
                <w:rFonts w:hint="eastAsia" w:ascii="宋体" w:hAnsi="宋体" w:eastAsia="宋体" w:cs="宋体"/>
                <w:sz w:val="24"/>
                <w:szCs w:val="24"/>
                <w:lang w:val="en-US" w:eastAsia="zh-CN"/>
              </w:rPr>
              <w:t>5</w:t>
            </w:r>
            <w:r>
              <w:rPr>
                <w:rFonts w:hint="eastAsia" w:ascii="宋体" w:hAnsi="宋体" w:eastAsia="宋体" w:cs="宋体"/>
                <w:sz w:val="24"/>
                <w:szCs w:val="24"/>
              </w:rPr>
              <w:t>μGy</w:t>
            </w:r>
          </w:p>
        </w:tc>
      </w:tr>
      <w:tr w14:paraId="007163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BE19BCF">
            <w:pPr>
              <w:jc w:val="both"/>
              <w:rPr>
                <w:rFonts w:hint="eastAsia" w:ascii="宋体" w:hAnsi="宋体" w:eastAsia="宋体" w:cs="宋体"/>
                <w:sz w:val="24"/>
                <w:szCs w:val="24"/>
              </w:rPr>
            </w:pPr>
            <w:r>
              <w:rPr>
                <w:rFonts w:hint="eastAsia" w:ascii="宋体" w:hAnsi="宋体" w:eastAsia="宋体" w:cs="宋体"/>
                <w:sz w:val="24"/>
                <w:szCs w:val="24"/>
              </w:rPr>
              <w:t>存储灰度级</w:t>
            </w:r>
          </w:p>
        </w:tc>
        <w:tc>
          <w:tcPr>
            <w:tcW w:w="3296" w:type="pct"/>
            <w:vAlign w:val="center"/>
          </w:tcPr>
          <w:p w14:paraId="69230B32">
            <w:pPr>
              <w:jc w:val="both"/>
              <w:rPr>
                <w:rFonts w:hint="eastAsia" w:ascii="宋体" w:hAnsi="宋体" w:eastAsia="宋体" w:cs="宋体"/>
                <w:sz w:val="24"/>
                <w:szCs w:val="24"/>
              </w:rPr>
            </w:pPr>
            <w:r>
              <w:rPr>
                <w:rFonts w:hint="eastAsia" w:ascii="宋体" w:hAnsi="宋体" w:eastAsia="宋体" w:cs="宋体"/>
                <w:sz w:val="24"/>
                <w:szCs w:val="24"/>
                <w:lang w:val="en-US" w:eastAsia="zh-CN"/>
              </w:rPr>
              <w:t>65536（16比特）</w:t>
            </w:r>
          </w:p>
        </w:tc>
      </w:tr>
      <w:tr w14:paraId="49ABC3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1900BD92">
            <w:pPr>
              <w:jc w:val="both"/>
              <w:rPr>
                <w:rFonts w:hint="eastAsia" w:ascii="宋体" w:hAnsi="宋体" w:eastAsia="宋体" w:cs="宋体"/>
                <w:sz w:val="24"/>
                <w:szCs w:val="24"/>
              </w:rPr>
            </w:pPr>
            <w:r>
              <w:rPr>
                <w:rFonts w:hint="eastAsia" w:ascii="宋体" w:hAnsi="宋体" w:eastAsia="宋体" w:cs="宋体"/>
                <w:sz w:val="24"/>
                <w:szCs w:val="24"/>
              </w:rPr>
              <w:t>显示器</w:t>
            </w:r>
          </w:p>
        </w:tc>
        <w:tc>
          <w:tcPr>
            <w:tcW w:w="3296" w:type="pct"/>
            <w:vAlign w:val="center"/>
          </w:tcPr>
          <w:p w14:paraId="4C754383">
            <w:pPr>
              <w:jc w:val="both"/>
              <w:rPr>
                <w:rFonts w:hint="eastAsia" w:ascii="宋体" w:hAnsi="宋体" w:eastAsia="宋体" w:cs="宋体"/>
                <w:sz w:val="24"/>
                <w:szCs w:val="24"/>
              </w:rPr>
            </w:pPr>
            <w:r>
              <w:rPr>
                <w:rFonts w:hint="eastAsia" w:ascii="宋体" w:hAnsi="宋体" w:eastAsia="宋体" w:cs="宋体"/>
                <w:sz w:val="24"/>
                <w:szCs w:val="24"/>
              </w:rPr>
              <w:t>彩色显示器（</w:t>
            </w:r>
            <w:r>
              <w:rPr>
                <w:rFonts w:hint="eastAsia" w:ascii="宋体" w:hAnsi="宋体" w:eastAsia="宋体" w:cs="宋体"/>
                <w:sz w:val="24"/>
                <w:szCs w:val="24"/>
                <w:lang w:val="en-US" w:eastAsia="zh-CN"/>
              </w:rPr>
              <w:t>27寸</w:t>
            </w:r>
            <w:r>
              <w:rPr>
                <w:rFonts w:hint="eastAsia" w:ascii="宋体" w:hAnsi="宋体" w:eastAsia="宋体" w:cs="宋体"/>
                <w:sz w:val="24"/>
                <w:szCs w:val="24"/>
              </w:rPr>
              <w:t>）</w:t>
            </w:r>
          </w:p>
        </w:tc>
      </w:tr>
      <w:tr w14:paraId="263FB2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4AB0F38E">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连续扫描</w:t>
            </w:r>
          </w:p>
        </w:tc>
        <w:tc>
          <w:tcPr>
            <w:tcW w:w="3296" w:type="pct"/>
            <w:vAlign w:val="center"/>
          </w:tcPr>
          <w:p w14:paraId="5EE61818">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对薄形物体（厚度0.01mm）进行连续扫描的功能，利于检测光障探测不到的薄形物体。</w:t>
            </w:r>
          </w:p>
        </w:tc>
      </w:tr>
      <w:tr w14:paraId="7F36E4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E9E806D">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灰度分辨</w:t>
            </w:r>
          </w:p>
        </w:tc>
        <w:tc>
          <w:tcPr>
            <w:tcW w:w="3296" w:type="pct"/>
            <w:vAlign w:val="center"/>
          </w:tcPr>
          <w:p w14:paraId="32BAC1B0">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设备能分辨厚度为1mm~60mm、厚度差不小于1mm的铝阶梯</w:t>
            </w:r>
          </w:p>
        </w:tc>
      </w:tr>
      <w:tr w14:paraId="1E8712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4C84387E">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存储设备及容量</w:t>
            </w:r>
          </w:p>
        </w:tc>
        <w:tc>
          <w:tcPr>
            <w:tcW w:w="3296" w:type="pct"/>
            <w:vAlign w:val="center"/>
          </w:tcPr>
          <w:p w14:paraId="69585EDC">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可存储某幅图像或所有的货物图像，自带存储硬盘（硬盘可用存储容量4T），根据X光机设备具体配备地点，考虑每天过机检查行李数量，保证存储不少于90天过机检查的图像，存储图像输出输入提供USB2.0接口等多种图像转存方式、提供一个打印机接口、支持网络传输,免费提供图像离机阅读功能</w:t>
            </w:r>
          </w:p>
        </w:tc>
      </w:tr>
      <w:tr w14:paraId="6B10A5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7D749344">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具备智能识别功能</w:t>
            </w:r>
          </w:p>
        </w:tc>
        <w:tc>
          <w:tcPr>
            <w:tcW w:w="3296" w:type="pct"/>
            <w:vAlign w:val="center"/>
          </w:tcPr>
          <w:p w14:paraId="0D7AB54E">
            <w:pPr>
              <w:keepNext w:val="0"/>
              <w:keepLines w:val="0"/>
              <w:pageBreakBefore w:val="0"/>
              <w:widowControl w:val="0"/>
              <w:kinsoku/>
              <w:wordWrap/>
              <w:overflowPunct/>
              <w:topLinePunct w:val="0"/>
              <w:autoSpaceDE/>
              <w:autoSpaceDN/>
              <w:bidi w:val="0"/>
              <w:adjustRightInd/>
              <w:snapToGrid w:val="0"/>
              <w:jc w:val="left"/>
              <w:textAlignment w:val="auto"/>
              <w:rPr>
                <w:rFonts w:hint="eastAsia" w:ascii="宋体" w:hAnsi="宋体" w:eastAsia="宋体" w:cs="宋体"/>
                <w:sz w:val="24"/>
                <w:szCs w:val="24"/>
              </w:rPr>
            </w:pPr>
            <w:r>
              <w:rPr>
                <w:rFonts w:hint="eastAsia" w:ascii="宋体" w:hAnsi="宋体" w:eastAsia="宋体" w:cs="宋体"/>
                <w:sz w:val="24"/>
                <w:szCs w:val="24"/>
              </w:rPr>
              <w:t>主机自带智能识别系统，支持特殊物品识别功能，可识别特殊物品包括但不限于：瓶装液体、刀具、枪支、电池、剪刀、打火机、电脑、手机、雨伞、甩棍、指虎、烟花爆竹、电击器、喷罐等。识别物品的种类和准确率满足实际需求</w:t>
            </w:r>
          </w:p>
        </w:tc>
      </w:tr>
      <w:tr w14:paraId="7762AD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5D82A0E1">
            <w:pPr>
              <w:jc w:val="both"/>
              <w:rPr>
                <w:rFonts w:hint="eastAsia" w:ascii="宋体" w:hAnsi="宋体" w:eastAsia="宋体" w:cs="宋体"/>
                <w:sz w:val="24"/>
                <w:szCs w:val="24"/>
              </w:rPr>
            </w:pPr>
            <w:r>
              <w:rPr>
                <w:rFonts w:hint="eastAsia" w:ascii="宋体" w:hAnsi="宋体" w:eastAsia="宋体" w:cs="宋体"/>
                <w:b/>
                <w:sz w:val="24"/>
                <w:szCs w:val="24"/>
              </w:rPr>
              <w:t>图像处理功能</w:t>
            </w:r>
          </w:p>
        </w:tc>
      </w:tr>
      <w:tr w14:paraId="6757C8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1FADD32A">
            <w:pPr>
              <w:jc w:val="both"/>
              <w:rPr>
                <w:rFonts w:hint="eastAsia" w:ascii="宋体" w:hAnsi="宋体" w:eastAsia="宋体" w:cs="宋体"/>
                <w:sz w:val="24"/>
                <w:szCs w:val="24"/>
              </w:rPr>
            </w:pPr>
            <w:r>
              <w:rPr>
                <w:rFonts w:hint="eastAsia" w:ascii="宋体" w:hAnsi="宋体" w:eastAsia="宋体" w:cs="宋体"/>
                <w:sz w:val="24"/>
                <w:szCs w:val="24"/>
              </w:rPr>
              <w:t>图像处理</w:t>
            </w:r>
          </w:p>
        </w:tc>
        <w:tc>
          <w:tcPr>
            <w:tcW w:w="3296" w:type="pct"/>
            <w:vAlign w:val="center"/>
          </w:tcPr>
          <w:p w14:paraId="6A8ABBE9">
            <w:pPr>
              <w:jc w:val="both"/>
              <w:rPr>
                <w:rFonts w:hint="eastAsia" w:ascii="宋体" w:hAnsi="宋体" w:eastAsia="宋体" w:cs="宋体"/>
                <w:sz w:val="24"/>
                <w:szCs w:val="24"/>
              </w:rPr>
            </w:pPr>
            <w:r>
              <w:rPr>
                <w:rFonts w:hint="eastAsia" w:ascii="宋体" w:hAnsi="宋体" w:eastAsia="宋体" w:cs="宋体"/>
                <w:sz w:val="24"/>
                <w:szCs w:val="24"/>
              </w:rPr>
              <w:t>黑白、反色、高能穿透、低能穿透、有机物剔除、无机物剔除、超级增强、可变吸收率、伪彩色等</w:t>
            </w:r>
          </w:p>
        </w:tc>
      </w:tr>
      <w:tr w14:paraId="74B305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2DBAE91F">
            <w:pPr>
              <w:jc w:val="both"/>
              <w:rPr>
                <w:rFonts w:hint="eastAsia" w:ascii="宋体" w:hAnsi="宋体" w:eastAsia="宋体" w:cs="宋体"/>
                <w:sz w:val="24"/>
                <w:szCs w:val="24"/>
              </w:rPr>
            </w:pPr>
            <w:r>
              <w:rPr>
                <w:rFonts w:hint="eastAsia" w:ascii="宋体" w:hAnsi="宋体" w:eastAsia="宋体" w:cs="宋体"/>
                <w:sz w:val="24"/>
                <w:szCs w:val="24"/>
              </w:rPr>
              <w:t>物质分辨</w:t>
            </w:r>
          </w:p>
        </w:tc>
        <w:tc>
          <w:tcPr>
            <w:tcW w:w="3296" w:type="pct"/>
            <w:vAlign w:val="center"/>
          </w:tcPr>
          <w:p w14:paraId="2545F1B2">
            <w:pPr>
              <w:jc w:val="both"/>
              <w:rPr>
                <w:rFonts w:hint="eastAsia" w:ascii="宋体" w:hAnsi="宋体" w:eastAsia="宋体" w:cs="宋体"/>
                <w:sz w:val="24"/>
                <w:szCs w:val="24"/>
              </w:rPr>
            </w:pPr>
            <w:r>
              <w:rPr>
                <w:rFonts w:hint="eastAsia" w:ascii="宋体" w:hAnsi="宋体" w:eastAsia="宋体" w:cs="宋体"/>
                <w:sz w:val="24"/>
                <w:szCs w:val="24"/>
              </w:rPr>
              <w:t>能显示出不同密度、不同材料的颜色</w:t>
            </w:r>
          </w:p>
          <w:p w14:paraId="768E144A">
            <w:pPr>
              <w:jc w:val="both"/>
              <w:rPr>
                <w:rFonts w:hint="eastAsia" w:ascii="宋体" w:hAnsi="宋体" w:eastAsia="宋体" w:cs="宋体"/>
                <w:sz w:val="24"/>
                <w:szCs w:val="24"/>
              </w:rPr>
            </w:pPr>
            <w:r>
              <w:rPr>
                <w:rFonts w:hint="eastAsia" w:ascii="宋体" w:hAnsi="宋体" w:eastAsia="宋体" w:cs="宋体"/>
                <w:sz w:val="24"/>
                <w:szCs w:val="24"/>
              </w:rPr>
              <w:t>有机物：橙色</w:t>
            </w:r>
          </w:p>
          <w:p w14:paraId="43AD4668">
            <w:pPr>
              <w:jc w:val="both"/>
              <w:rPr>
                <w:rFonts w:hint="eastAsia" w:ascii="宋体" w:hAnsi="宋体" w:eastAsia="宋体" w:cs="宋体"/>
                <w:sz w:val="24"/>
                <w:szCs w:val="24"/>
              </w:rPr>
            </w:pPr>
            <w:r>
              <w:rPr>
                <w:rFonts w:hint="eastAsia" w:ascii="宋体" w:hAnsi="宋体" w:eastAsia="宋体" w:cs="宋体"/>
                <w:sz w:val="24"/>
                <w:szCs w:val="24"/>
              </w:rPr>
              <w:t>无机物：蓝色</w:t>
            </w:r>
          </w:p>
          <w:p w14:paraId="6972D06E">
            <w:pPr>
              <w:jc w:val="both"/>
              <w:rPr>
                <w:rFonts w:hint="eastAsia" w:ascii="宋体" w:hAnsi="宋体" w:eastAsia="宋体" w:cs="宋体"/>
                <w:sz w:val="24"/>
                <w:szCs w:val="24"/>
              </w:rPr>
            </w:pPr>
            <w:r>
              <w:rPr>
                <w:rFonts w:hint="eastAsia" w:ascii="宋体" w:hAnsi="宋体" w:eastAsia="宋体" w:cs="宋体"/>
                <w:sz w:val="24"/>
                <w:szCs w:val="24"/>
              </w:rPr>
              <w:t>混合物：绿色</w:t>
            </w:r>
          </w:p>
        </w:tc>
      </w:tr>
      <w:tr w14:paraId="4B1505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12DB24F6">
            <w:pPr>
              <w:jc w:val="both"/>
              <w:rPr>
                <w:rFonts w:hint="eastAsia" w:ascii="宋体" w:hAnsi="宋体" w:eastAsia="宋体" w:cs="宋体"/>
                <w:sz w:val="24"/>
                <w:szCs w:val="24"/>
              </w:rPr>
            </w:pPr>
            <w:r>
              <w:rPr>
                <w:rFonts w:hint="eastAsia" w:ascii="宋体" w:hAnsi="宋体" w:eastAsia="宋体" w:cs="宋体"/>
                <w:sz w:val="24"/>
                <w:szCs w:val="24"/>
              </w:rPr>
              <w:t>选区与放大</w:t>
            </w:r>
          </w:p>
        </w:tc>
        <w:tc>
          <w:tcPr>
            <w:tcW w:w="3296" w:type="pct"/>
            <w:vAlign w:val="center"/>
          </w:tcPr>
          <w:p w14:paraId="7C25A417">
            <w:pPr>
              <w:jc w:val="both"/>
              <w:rPr>
                <w:rFonts w:hint="eastAsia" w:ascii="宋体" w:hAnsi="宋体" w:eastAsia="宋体" w:cs="宋体"/>
                <w:sz w:val="24"/>
                <w:szCs w:val="24"/>
              </w:rPr>
            </w:pPr>
            <w:r>
              <w:rPr>
                <w:rFonts w:hint="eastAsia" w:ascii="宋体" w:hAnsi="宋体" w:eastAsia="宋体" w:cs="宋体"/>
                <w:sz w:val="24"/>
                <w:szCs w:val="24"/>
              </w:rPr>
              <w:t>连续选区，可选多区，1-128倍放大，实现全屏连续观察。</w:t>
            </w:r>
          </w:p>
        </w:tc>
      </w:tr>
      <w:tr w14:paraId="251A61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07E4F91">
            <w:pPr>
              <w:jc w:val="both"/>
              <w:rPr>
                <w:rFonts w:hint="eastAsia" w:ascii="宋体" w:hAnsi="宋体" w:eastAsia="宋体" w:cs="宋体"/>
                <w:sz w:val="24"/>
                <w:szCs w:val="24"/>
              </w:rPr>
            </w:pPr>
            <w:r>
              <w:rPr>
                <w:rFonts w:hint="eastAsia" w:ascii="宋体" w:hAnsi="宋体" w:eastAsia="宋体" w:cs="宋体"/>
                <w:sz w:val="24"/>
                <w:szCs w:val="24"/>
              </w:rPr>
              <w:t>图像回拉</w:t>
            </w:r>
          </w:p>
        </w:tc>
        <w:tc>
          <w:tcPr>
            <w:tcW w:w="3296" w:type="pct"/>
            <w:vAlign w:val="center"/>
          </w:tcPr>
          <w:p w14:paraId="08BF11CC">
            <w:pPr>
              <w:jc w:val="both"/>
              <w:rPr>
                <w:rFonts w:hint="eastAsia" w:ascii="宋体" w:hAnsi="宋体" w:eastAsia="宋体" w:cs="宋体"/>
                <w:sz w:val="24"/>
                <w:szCs w:val="24"/>
              </w:rPr>
            </w:pPr>
            <w:r>
              <w:rPr>
                <w:rFonts w:hint="eastAsia" w:ascii="宋体" w:hAnsi="宋体" w:eastAsia="宋体" w:cs="宋体"/>
                <w:sz w:val="24"/>
                <w:szCs w:val="24"/>
              </w:rPr>
              <w:t>能够无限回拉当天已扫描图像，对回拉的图像可进行实时多种图像处理。回拉放大图像以及图像回拉时，可选择传送带停或不停，不停时其他物品仍可过机检查,相关图像存入相应的显示缓冲区</w:t>
            </w:r>
          </w:p>
        </w:tc>
      </w:tr>
      <w:tr w14:paraId="5B811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0159F6A">
            <w:pPr>
              <w:jc w:val="both"/>
              <w:rPr>
                <w:rFonts w:hint="eastAsia" w:ascii="宋体" w:hAnsi="宋体" w:eastAsia="宋体" w:cs="宋体"/>
                <w:sz w:val="24"/>
                <w:szCs w:val="24"/>
              </w:rPr>
            </w:pPr>
            <w:r>
              <w:rPr>
                <w:rFonts w:hint="eastAsia" w:ascii="宋体" w:hAnsi="宋体" w:eastAsia="宋体" w:cs="宋体"/>
                <w:sz w:val="24"/>
                <w:szCs w:val="24"/>
              </w:rPr>
              <w:t>图像存储能力</w:t>
            </w:r>
          </w:p>
        </w:tc>
        <w:tc>
          <w:tcPr>
            <w:tcW w:w="3296" w:type="pct"/>
            <w:vAlign w:val="center"/>
          </w:tcPr>
          <w:p w14:paraId="58915BF1">
            <w:pPr>
              <w:jc w:val="both"/>
              <w:rPr>
                <w:rFonts w:hint="eastAsia" w:ascii="宋体" w:hAnsi="宋体" w:eastAsia="宋体" w:cs="宋体"/>
                <w:sz w:val="24"/>
                <w:szCs w:val="24"/>
              </w:rPr>
            </w:pPr>
            <w:r>
              <w:rPr>
                <w:rFonts w:hint="eastAsia" w:ascii="宋体" w:hAnsi="宋体" w:eastAsia="宋体" w:cs="宋体"/>
                <w:sz w:val="24"/>
                <w:szCs w:val="24"/>
                <w:lang w:eastAsia="zh-CN"/>
              </w:rPr>
              <w:t>不少于</w:t>
            </w:r>
            <w:r>
              <w:rPr>
                <w:rFonts w:hint="eastAsia" w:ascii="宋体" w:hAnsi="宋体" w:eastAsia="宋体" w:cs="宋体"/>
                <w:sz w:val="24"/>
                <w:szCs w:val="24"/>
                <w:lang w:val="en-US" w:eastAsia="zh-CN"/>
              </w:rPr>
              <w:t>600万</w:t>
            </w:r>
            <w:r>
              <w:rPr>
                <w:rFonts w:hint="eastAsia" w:ascii="宋体" w:hAnsi="宋体" w:eastAsia="宋体" w:cs="宋体"/>
                <w:sz w:val="24"/>
                <w:szCs w:val="24"/>
              </w:rPr>
              <w:t>幅图像</w:t>
            </w:r>
          </w:p>
        </w:tc>
      </w:tr>
      <w:tr w14:paraId="4A4F1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286DB18">
            <w:pPr>
              <w:spacing w:line="240" w:lineRule="auto"/>
              <w:jc w:val="both"/>
              <w:rPr>
                <w:rFonts w:hint="eastAsia" w:ascii="宋体" w:hAnsi="宋体" w:eastAsia="宋体" w:cs="宋体"/>
                <w:sz w:val="24"/>
                <w:szCs w:val="24"/>
              </w:rPr>
            </w:pPr>
            <w:r>
              <w:rPr>
                <w:rFonts w:hint="eastAsia" w:ascii="宋体" w:hAnsi="宋体" w:eastAsia="宋体" w:cs="宋体"/>
                <w:sz w:val="24"/>
                <w:szCs w:val="24"/>
              </w:rPr>
              <w:t>辅助功能</w:t>
            </w:r>
          </w:p>
        </w:tc>
        <w:tc>
          <w:tcPr>
            <w:tcW w:w="3296" w:type="pct"/>
            <w:vAlign w:val="center"/>
          </w:tcPr>
          <w:p w14:paraId="0A8FD0E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sz w:val="24"/>
                <w:szCs w:val="24"/>
              </w:rPr>
              <w:t>日期/时间显示，行李计数，用户管理，系统工作计时、射线出束计时，上电自检，图像存储和检索，维护诊断，双向扫描，图像识别培训</w:t>
            </w:r>
          </w:p>
        </w:tc>
      </w:tr>
      <w:tr w14:paraId="6E2AB8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634A4EFF">
            <w:pPr>
              <w:spacing w:line="240" w:lineRule="auto"/>
              <w:jc w:val="both"/>
              <w:rPr>
                <w:rFonts w:hint="eastAsia" w:ascii="宋体" w:hAnsi="宋体" w:eastAsia="宋体" w:cs="宋体"/>
                <w:sz w:val="24"/>
                <w:szCs w:val="24"/>
              </w:rPr>
            </w:pPr>
            <w:r>
              <w:rPr>
                <w:rFonts w:hint="eastAsia" w:ascii="宋体" w:hAnsi="宋体" w:eastAsia="宋体" w:cs="宋体"/>
                <w:sz w:val="24"/>
                <w:szCs w:val="24"/>
              </w:rPr>
              <w:t>图像的兼容性和可移植性</w:t>
            </w:r>
          </w:p>
        </w:tc>
        <w:tc>
          <w:tcPr>
            <w:tcW w:w="3296" w:type="pct"/>
            <w:vAlign w:val="center"/>
          </w:tcPr>
          <w:p w14:paraId="46BF358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sz w:val="24"/>
                <w:szCs w:val="24"/>
              </w:rPr>
            </w:pPr>
            <w:r>
              <w:rPr>
                <w:rFonts w:hint="eastAsia" w:ascii="宋体" w:hAnsi="宋体" w:eastAsia="宋体" w:cs="宋体"/>
                <w:sz w:val="24"/>
                <w:szCs w:val="24"/>
              </w:rPr>
              <w:t>实时存储的图像数据可下载并可在X光机模拟器中实现各种图像变化功能</w:t>
            </w:r>
          </w:p>
        </w:tc>
      </w:tr>
      <w:tr w14:paraId="11A8C8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338508A1">
            <w:pPr>
              <w:jc w:val="both"/>
              <w:rPr>
                <w:rFonts w:hint="eastAsia" w:ascii="宋体" w:hAnsi="宋体" w:eastAsia="宋体" w:cs="宋体"/>
                <w:b/>
                <w:sz w:val="24"/>
                <w:szCs w:val="24"/>
              </w:rPr>
            </w:pPr>
            <w:r>
              <w:rPr>
                <w:rFonts w:hint="eastAsia" w:ascii="宋体" w:hAnsi="宋体" w:eastAsia="宋体" w:cs="宋体"/>
                <w:b/>
                <w:sz w:val="24"/>
                <w:szCs w:val="24"/>
              </w:rPr>
              <w:t>X射线发生器</w:t>
            </w:r>
          </w:p>
        </w:tc>
      </w:tr>
      <w:tr w14:paraId="1ECA40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13172F32">
            <w:pPr>
              <w:jc w:val="both"/>
              <w:rPr>
                <w:rFonts w:hint="eastAsia" w:ascii="宋体" w:hAnsi="宋体" w:eastAsia="宋体" w:cs="宋体"/>
                <w:sz w:val="24"/>
                <w:szCs w:val="24"/>
              </w:rPr>
            </w:pPr>
            <w:r>
              <w:rPr>
                <w:rFonts w:hint="eastAsia" w:ascii="宋体" w:hAnsi="宋体" w:eastAsia="宋体" w:cs="宋体"/>
                <w:sz w:val="24"/>
                <w:szCs w:val="24"/>
              </w:rPr>
              <w:t>阳极电压</w:t>
            </w:r>
          </w:p>
        </w:tc>
        <w:tc>
          <w:tcPr>
            <w:tcW w:w="3296" w:type="pct"/>
            <w:vAlign w:val="center"/>
          </w:tcPr>
          <w:p w14:paraId="7B7A52DF">
            <w:pPr>
              <w:jc w:val="both"/>
              <w:rPr>
                <w:rFonts w:hint="eastAsia" w:ascii="宋体" w:hAnsi="宋体" w:eastAsia="宋体" w:cs="宋体"/>
                <w:sz w:val="24"/>
                <w:szCs w:val="24"/>
              </w:rPr>
            </w:pPr>
            <w:r>
              <w:rPr>
                <w:rFonts w:hint="eastAsia" w:ascii="宋体" w:hAnsi="宋体" w:eastAsia="宋体" w:cs="宋体"/>
                <w:sz w:val="24"/>
                <w:szCs w:val="24"/>
              </w:rPr>
              <w:t>160千伏（可调）</w:t>
            </w:r>
          </w:p>
        </w:tc>
      </w:tr>
      <w:tr w14:paraId="52A42C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50201CDD">
            <w:pPr>
              <w:jc w:val="both"/>
              <w:rPr>
                <w:rFonts w:hint="eastAsia" w:ascii="宋体" w:hAnsi="宋体" w:eastAsia="宋体" w:cs="宋体"/>
                <w:sz w:val="24"/>
                <w:szCs w:val="24"/>
              </w:rPr>
            </w:pPr>
            <w:r>
              <w:rPr>
                <w:rFonts w:hint="eastAsia" w:ascii="宋体" w:hAnsi="宋体" w:eastAsia="宋体" w:cs="宋体"/>
                <w:sz w:val="24"/>
                <w:szCs w:val="24"/>
              </w:rPr>
              <w:t>冷却方式/运行周期</w:t>
            </w:r>
          </w:p>
        </w:tc>
        <w:tc>
          <w:tcPr>
            <w:tcW w:w="3296" w:type="pct"/>
            <w:vAlign w:val="center"/>
          </w:tcPr>
          <w:p w14:paraId="7B003953">
            <w:pPr>
              <w:jc w:val="both"/>
              <w:rPr>
                <w:rFonts w:hint="eastAsia" w:ascii="宋体" w:hAnsi="宋体" w:eastAsia="宋体" w:cs="宋体"/>
                <w:sz w:val="24"/>
                <w:szCs w:val="24"/>
              </w:rPr>
            </w:pPr>
            <w:r>
              <w:rPr>
                <w:rFonts w:hint="eastAsia" w:ascii="宋体" w:hAnsi="宋体" w:eastAsia="宋体" w:cs="宋体"/>
                <w:sz w:val="24"/>
                <w:szCs w:val="24"/>
              </w:rPr>
              <w:t>油冷/100%</w:t>
            </w:r>
          </w:p>
        </w:tc>
      </w:tr>
      <w:tr w14:paraId="6340A7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shd w:val="clear" w:color="auto" w:fill="auto"/>
            <w:vAlign w:val="center"/>
          </w:tcPr>
          <w:p w14:paraId="30FD7197">
            <w:pPr>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电磁兼容</w:t>
            </w:r>
          </w:p>
        </w:tc>
        <w:tc>
          <w:tcPr>
            <w:tcW w:w="3296" w:type="pct"/>
            <w:shd w:val="clear" w:color="auto" w:fill="auto"/>
            <w:vAlign w:val="center"/>
          </w:tcPr>
          <w:p w14:paraId="03632CBB">
            <w:pPr>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满足国标GB/T17626系列和GB/T17799系列对电磁兼容性的要求</w:t>
            </w:r>
          </w:p>
        </w:tc>
      </w:tr>
      <w:tr w14:paraId="0AA556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7988035">
            <w:pPr>
              <w:jc w:val="both"/>
              <w:rPr>
                <w:rFonts w:hint="eastAsia" w:ascii="宋体" w:hAnsi="宋体" w:eastAsia="宋体" w:cs="宋体"/>
                <w:sz w:val="24"/>
                <w:szCs w:val="24"/>
              </w:rPr>
            </w:pPr>
            <w:r>
              <w:rPr>
                <w:rFonts w:hint="eastAsia" w:ascii="宋体" w:hAnsi="宋体" w:eastAsia="宋体" w:cs="宋体"/>
                <w:sz w:val="24"/>
                <w:szCs w:val="24"/>
              </w:rPr>
              <w:t>X射线传感器</w:t>
            </w:r>
          </w:p>
        </w:tc>
        <w:tc>
          <w:tcPr>
            <w:tcW w:w="3296" w:type="pct"/>
            <w:vAlign w:val="center"/>
          </w:tcPr>
          <w:p w14:paraId="1D6D1C07">
            <w:pPr>
              <w:jc w:val="both"/>
              <w:rPr>
                <w:rFonts w:hint="eastAsia" w:ascii="宋体" w:hAnsi="宋体" w:eastAsia="宋体" w:cs="宋体"/>
                <w:sz w:val="24"/>
                <w:szCs w:val="24"/>
              </w:rPr>
            </w:pPr>
            <w:r>
              <w:rPr>
                <w:rFonts w:hint="eastAsia" w:ascii="宋体" w:hAnsi="宋体" w:eastAsia="宋体" w:cs="宋体"/>
                <w:sz w:val="24"/>
                <w:szCs w:val="24"/>
              </w:rPr>
              <w:t>L形二极管阵列探测器，可探测不同能量的X射线</w:t>
            </w:r>
          </w:p>
        </w:tc>
      </w:tr>
      <w:tr w14:paraId="2F06C0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shd w:val="clear" w:color="auto" w:fill="auto"/>
            <w:vAlign w:val="center"/>
          </w:tcPr>
          <w:p w14:paraId="380EFC2B">
            <w:pPr>
              <w:pStyle w:val="8"/>
              <w:keepNext w:val="0"/>
              <w:keepLines w:val="0"/>
              <w:pageBreakBefore w:val="0"/>
              <w:widowControl w:val="0"/>
              <w:kinsoku/>
              <w:wordWrap/>
              <w:overflowPunct/>
              <w:topLinePunct w:val="0"/>
              <w:autoSpaceDE/>
              <w:autoSpaceDN w:val="0"/>
              <w:bidi w:val="0"/>
              <w:adjustRightInd/>
              <w:snapToGrid/>
              <w:jc w:val="left"/>
              <w:textAlignment w:val="auto"/>
              <w:rPr>
                <w:rFonts w:hint="eastAsia" w:ascii="宋体" w:hAnsi="宋体" w:eastAsia="宋体" w:cs="宋体"/>
                <w:kern w:val="2"/>
                <w:sz w:val="24"/>
                <w:szCs w:val="24"/>
                <w:lang w:val="en-US" w:eastAsia="en-US" w:bidi="ar-SA"/>
              </w:rPr>
            </w:pPr>
            <w:r>
              <w:rPr>
                <w:rFonts w:hint="eastAsia" w:ascii="宋体" w:hAnsi="宋体" w:eastAsia="宋体" w:cs="宋体"/>
                <w:kern w:val="2"/>
                <w:sz w:val="24"/>
                <w:szCs w:val="24"/>
                <w:lang w:val="en-US" w:eastAsia="zh-CN" w:bidi="ar-SA"/>
              </w:rPr>
              <w:t>照射方向</w:t>
            </w:r>
          </w:p>
        </w:tc>
        <w:tc>
          <w:tcPr>
            <w:tcW w:w="3296" w:type="pct"/>
            <w:shd w:val="clear" w:color="auto" w:fill="auto"/>
            <w:vAlign w:val="center"/>
          </w:tcPr>
          <w:p w14:paraId="672170A7">
            <w:pPr>
              <w:pStyle w:val="8"/>
              <w:keepNext w:val="0"/>
              <w:keepLines w:val="0"/>
              <w:pageBreakBefore w:val="0"/>
              <w:widowControl w:val="0"/>
              <w:kinsoku/>
              <w:wordWrap/>
              <w:overflowPunct/>
              <w:topLinePunct w:val="0"/>
              <w:autoSpaceDE/>
              <w:autoSpaceDN w:val="0"/>
              <w:bidi w:val="0"/>
              <w:adjustRightInd/>
              <w:snapToGrid/>
              <w:jc w:val="left"/>
              <w:textAlignment w:val="auto"/>
              <w:rPr>
                <w:rFonts w:hint="eastAsia" w:ascii="宋体" w:hAnsi="宋体" w:eastAsia="宋体" w:cs="宋体"/>
                <w:kern w:val="2"/>
                <w:sz w:val="24"/>
                <w:szCs w:val="24"/>
                <w:lang w:val="en-US" w:eastAsia="en-US" w:bidi="ar-SA"/>
              </w:rPr>
            </w:pPr>
            <w:r>
              <w:rPr>
                <w:rFonts w:hint="eastAsia" w:ascii="宋体" w:hAnsi="宋体" w:eastAsia="宋体" w:cs="宋体"/>
                <w:kern w:val="2"/>
                <w:sz w:val="24"/>
                <w:szCs w:val="24"/>
                <w:lang w:val="en-US" w:eastAsia="zh-CN" w:bidi="ar-SA"/>
              </w:rPr>
              <w:t>顶部向下及侧面照射</w:t>
            </w:r>
          </w:p>
        </w:tc>
      </w:tr>
      <w:tr w14:paraId="452679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7F539921">
            <w:pPr>
              <w:jc w:val="both"/>
              <w:rPr>
                <w:rFonts w:hint="eastAsia" w:ascii="宋体" w:hAnsi="宋体" w:eastAsia="宋体" w:cs="宋体"/>
                <w:sz w:val="24"/>
                <w:szCs w:val="24"/>
              </w:rPr>
            </w:pPr>
            <w:r>
              <w:rPr>
                <w:rFonts w:hint="eastAsia" w:ascii="宋体" w:hAnsi="宋体" w:eastAsia="宋体" w:cs="宋体"/>
                <w:b/>
                <w:sz w:val="24"/>
                <w:szCs w:val="24"/>
              </w:rPr>
              <w:t>辐射安全</w:t>
            </w:r>
          </w:p>
        </w:tc>
      </w:tr>
      <w:tr w14:paraId="2761D2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700F2C23">
            <w:pPr>
              <w:jc w:val="both"/>
              <w:rPr>
                <w:rFonts w:hint="eastAsia" w:ascii="宋体" w:hAnsi="宋体" w:eastAsia="宋体" w:cs="宋体"/>
                <w:sz w:val="24"/>
                <w:szCs w:val="24"/>
              </w:rPr>
            </w:pPr>
            <w:r>
              <w:rPr>
                <w:rFonts w:hint="eastAsia" w:ascii="宋体" w:hAnsi="宋体" w:eastAsia="宋体" w:cs="宋体"/>
                <w:sz w:val="24"/>
                <w:szCs w:val="24"/>
              </w:rPr>
              <w:t>周围剂量当量率</w:t>
            </w:r>
          </w:p>
        </w:tc>
        <w:tc>
          <w:tcPr>
            <w:tcW w:w="3296" w:type="pct"/>
            <w:vAlign w:val="center"/>
          </w:tcPr>
          <w:p w14:paraId="111D2D5C">
            <w:pPr>
              <w:jc w:val="both"/>
              <w:rPr>
                <w:rFonts w:hint="eastAsia" w:ascii="宋体" w:hAnsi="宋体" w:eastAsia="宋体" w:cs="宋体"/>
                <w:sz w:val="24"/>
                <w:szCs w:val="24"/>
              </w:rPr>
            </w:pPr>
            <w:r>
              <w:rPr>
                <w:rFonts w:hint="eastAsia" w:ascii="宋体" w:hAnsi="宋体" w:eastAsia="宋体" w:cs="宋体"/>
                <w:sz w:val="24"/>
                <w:szCs w:val="24"/>
              </w:rPr>
              <w:t>0.01μSv/h，</w:t>
            </w:r>
            <w:r>
              <w:rPr>
                <w:rFonts w:hint="eastAsia" w:ascii="宋体" w:hAnsi="宋体" w:eastAsia="宋体" w:cs="宋体"/>
                <w:sz w:val="24"/>
                <w:szCs w:val="24"/>
              </w:rPr>
              <w:t>符合GB 15208.1-2018中5.2.2周围剂量当量率的要求。</w:t>
            </w:r>
          </w:p>
        </w:tc>
      </w:tr>
      <w:tr w14:paraId="0DA650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6ED92FEA">
            <w:pPr>
              <w:jc w:val="both"/>
              <w:rPr>
                <w:rFonts w:hint="eastAsia" w:ascii="宋体" w:hAnsi="宋体" w:eastAsia="宋体" w:cs="宋体"/>
                <w:sz w:val="24"/>
                <w:szCs w:val="24"/>
              </w:rPr>
            </w:pPr>
            <w:r>
              <w:rPr>
                <w:rFonts w:hint="eastAsia" w:ascii="宋体" w:hAnsi="宋体" w:eastAsia="宋体" w:cs="宋体"/>
                <w:sz w:val="24"/>
                <w:szCs w:val="24"/>
              </w:rPr>
              <w:t>胶卷安全</w:t>
            </w:r>
          </w:p>
        </w:tc>
        <w:tc>
          <w:tcPr>
            <w:tcW w:w="3296" w:type="pct"/>
            <w:vAlign w:val="center"/>
          </w:tcPr>
          <w:p w14:paraId="1D101946">
            <w:pPr>
              <w:jc w:val="both"/>
              <w:rPr>
                <w:rFonts w:hint="eastAsia" w:ascii="宋体" w:hAnsi="宋体" w:eastAsia="宋体" w:cs="宋体"/>
                <w:sz w:val="24"/>
                <w:szCs w:val="24"/>
              </w:rPr>
            </w:pPr>
            <w:r>
              <w:rPr>
                <w:rFonts w:hint="eastAsia" w:ascii="宋体" w:hAnsi="宋体" w:eastAsia="宋体" w:cs="宋体"/>
                <w:sz w:val="24"/>
                <w:szCs w:val="24"/>
              </w:rPr>
              <w:t>对符合ASA/ISO1600标准的胶卷安全</w:t>
            </w:r>
          </w:p>
        </w:tc>
      </w:tr>
      <w:tr w14:paraId="710ACC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4061551B">
            <w:pPr>
              <w:jc w:val="both"/>
              <w:rPr>
                <w:rFonts w:hint="eastAsia" w:ascii="宋体" w:hAnsi="宋体" w:eastAsia="宋体" w:cs="宋体"/>
                <w:sz w:val="24"/>
                <w:szCs w:val="24"/>
              </w:rPr>
            </w:pPr>
            <w:r>
              <w:rPr>
                <w:rFonts w:hint="eastAsia" w:ascii="宋体" w:hAnsi="宋体" w:eastAsia="宋体" w:cs="宋体"/>
                <w:b/>
                <w:sz w:val="24"/>
                <w:szCs w:val="24"/>
              </w:rPr>
              <w:t>安装数据</w:t>
            </w:r>
          </w:p>
        </w:tc>
      </w:tr>
      <w:tr w14:paraId="63960A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120C501">
            <w:pPr>
              <w:jc w:val="both"/>
              <w:rPr>
                <w:rFonts w:hint="eastAsia" w:ascii="宋体" w:hAnsi="宋体" w:eastAsia="宋体" w:cs="宋体"/>
                <w:sz w:val="24"/>
                <w:szCs w:val="24"/>
              </w:rPr>
            </w:pPr>
            <w:r>
              <w:rPr>
                <w:rFonts w:hint="eastAsia" w:ascii="宋体" w:hAnsi="宋体" w:eastAsia="宋体" w:cs="宋体"/>
                <w:sz w:val="24"/>
                <w:szCs w:val="24"/>
              </w:rPr>
              <w:t>储藏温度 / 相对湿度</w:t>
            </w:r>
          </w:p>
        </w:tc>
        <w:tc>
          <w:tcPr>
            <w:tcW w:w="3296" w:type="pct"/>
            <w:vAlign w:val="center"/>
          </w:tcPr>
          <w:p w14:paraId="6132593B">
            <w:pPr>
              <w:jc w:val="both"/>
              <w:rPr>
                <w:rFonts w:hint="eastAsia" w:ascii="宋体" w:hAnsi="宋体" w:eastAsia="宋体" w:cs="宋体"/>
                <w:sz w:val="24"/>
                <w:szCs w:val="24"/>
              </w:rPr>
            </w:pPr>
            <w:r>
              <w:rPr>
                <w:rFonts w:hint="eastAsia" w:ascii="宋体" w:hAnsi="宋体" w:eastAsia="宋体" w:cs="宋体"/>
                <w:sz w:val="24"/>
                <w:szCs w:val="24"/>
              </w:rPr>
              <w:t>-40℃～+60℃ / 5%～95%（不结露）</w:t>
            </w:r>
          </w:p>
        </w:tc>
      </w:tr>
      <w:tr w14:paraId="04499E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0E1101D8">
            <w:pPr>
              <w:jc w:val="both"/>
              <w:rPr>
                <w:rFonts w:hint="eastAsia" w:ascii="宋体" w:hAnsi="宋体" w:eastAsia="宋体" w:cs="宋体"/>
                <w:sz w:val="24"/>
                <w:szCs w:val="24"/>
              </w:rPr>
            </w:pPr>
            <w:r>
              <w:rPr>
                <w:rFonts w:hint="eastAsia" w:ascii="宋体" w:hAnsi="宋体" w:eastAsia="宋体" w:cs="宋体"/>
                <w:sz w:val="24"/>
                <w:szCs w:val="24"/>
              </w:rPr>
              <w:t>运行温度 / 相对湿度</w:t>
            </w:r>
          </w:p>
        </w:tc>
        <w:tc>
          <w:tcPr>
            <w:tcW w:w="3296" w:type="pct"/>
            <w:vAlign w:val="center"/>
          </w:tcPr>
          <w:p w14:paraId="3D80765D">
            <w:pPr>
              <w:jc w:val="both"/>
              <w:rPr>
                <w:rFonts w:hint="eastAsia" w:ascii="宋体" w:hAnsi="宋体" w:eastAsia="宋体" w:cs="宋体"/>
                <w:sz w:val="24"/>
                <w:szCs w:val="24"/>
              </w:rPr>
            </w:pPr>
            <w:r>
              <w:rPr>
                <w:rFonts w:hint="eastAsia" w:ascii="宋体" w:hAnsi="宋体" w:eastAsia="宋体" w:cs="宋体"/>
                <w:sz w:val="24"/>
                <w:szCs w:val="24"/>
              </w:rPr>
              <w:t>0℃～+40℃ / 5%～95%（不结露）</w:t>
            </w:r>
          </w:p>
        </w:tc>
      </w:tr>
      <w:tr w14:paraId="1A4589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703" w:type="pct"/>
            <w:vAlign w:val="center"/>
          </w:tcPr>
          <w:p w14:paraId="175D460F">
            <w:pPr>
              <w:jc w:val="both"/>
              <w:rPr>
                <w:rFonts w:hint="eastAsia" w:ascii="宋体" w:hAnsi="宋体" w:eastAsia="宋体" w:cs="宋体"/>
                <w:sz w:val="24"/>
                <w:szCs w:val="24"/>
              </w:rPr>
            </w:pPr>
            <w:r>
              <w:rPr>
                <w:rFonts w:hint="eastAsia" w:ascii="宋体" w:hAnsi="宋体" w:eastAsia="宋体" w:cs="宋体"/>
                <w:sz w:val="24"/>
                <w:szCs w:val="24"/>
              </w:rPr>
              <w:t>电源</w:t>
            </w:r>
          </w:p>
        </w:tc>
        <w:tc>
          <w:tcPr>
            <w:tcW w:w="3296" w:type="pct"/>
            <w:vAlign w:val="center"/>
          </w:tcPr>
          <w:p w14:paraId="70557A66">
            <w:pPr>
              <w:jc w:val="both"/>
              <w:rPr>
                <w:rFonts w:hint="eastAsia" w:ascii="宋体" w:hAnsi="宋体" w:eastAsia="宋体" w:cs="宋体"/>
                <w:sz w:val="24"/>
                <w:szCs w:val="24"/>
              </w:rPr>
            </w:pPr>
            <w:r>
              <w:rPr>
                <w:rFonts w:hint="eastAsia" w:ascii="宋体" w:hAnsi="宋体" w:eastAsia="宋体" w:cs="宋体"/>
                <w:sz w:val="24"/>
                <w:szCs w:val="24"/>
              </w:rPr>
              <w:t>交流220伏（-15%～+10%），50±3赫兹</w:t>
            </w:r>
          </w:p>
        </w:tc>
      </w:tr>
    </w:tbl>
    <w:p w14:paraId="21F55CB6">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auto"/>
        <w:rPr>
          <w:rFonts w:hint="eastAsia"/>
          <w:b/>
          <w:bCs/>
          <w:spacing w:val="1"/>
          <w:sz w:val="28"/>
          <w:szCs w:val="28"/>
          <w:lang w:val="en-US" w:eastAsia="zh-CN"/>
        </w:rPr>
      </w:pPr>
    </w:p>
    <w:p w14:paraId="57C1E81B">
      <w:pPr>
        <w:pStyle w:val="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auto"/>
        <w:rPr>
          <w:rFonts w:hint="default"/>
          <w:spacing w:val="1"/>
          <w:lang w:val="en-US" w:eastAsia="zh-CN"/>
        </w:rPr>
      </w:pPr>
    </w:p>
    <w:p w14:paraId="5CF64C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黑体_GBK">
    <w:altName w:val="微软雅黑"/>
    <w:panose1 w:val="02000000000000000000"/>
    <w:charset w:val="86"/>
    <w:family w:val="auto"/>
    <w:pitch w:val="default"/>
    <w:sig w:usb0="00000000" w:usb1="00000000" w:usb2="00000000" w:usb3="00000000" w:csb0="00040000" w:csb1="00000000"/>
  </w:font>
  <w:font w:name="Lucida Sans">
    <w:altName w:val="Lucida Sans Unicode"/>
    <w:panose1 w:val="020B0602030504020204"/>
    <w:charset w:val="00"/>
    <w:family w:val="auto"/>
    <w:pitch w:val="default"/>
    <w:sig w:usb0="00000000" w:usb1="00000000" w:usb2="00000000" w:usb3="00000000" w:csb0="20000001" w:csb1="00000000"/>
  </w:font>
  <w:font w:name="方正仿宋_GBK">
    <w:altName w:val="微软雅黑"/>
    <w:panose1 w:val="03000509000000000000"/>
    <w:charset w:val="86"/>
    <w:family w:val="script"/>
    <w:pitch w:val="default"/>
    <w:sig w:usb0="00000000" w:usb1="0000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3F30D1"/>
    <w:multiLevelType w:val="singleLevel"/>
    <w:tmpl w:val="A93F30D1"/>
    <w:lvl w:ilvl="0" w:tentative="0">
      <w:start w:val="1"/>
      <w:numFmt w:val="bullet"/>
      <w:lvlText w:val=""/>
      <w:lvlJc w:val="left"/>
      <w:pPr>
        <w:ind w:left="420" w:hanging="420"/>
      </w:pPr>
      <w:rPr>
        <w:rFonts w:hint="default" w:ascii="Wingdings" w:hAnsi="Wingdings"/>
      </w:rPr>
    </w:lvl>
  </w:abstractNum>
  <w:abstractNum w:abstractNumId="1">
    <w:nsid w:val="BB0ED246"/>
    <w:multiLevelType w:val="singleLevel"/>
    <w:tmpl w:val="BB0ED246"/>
    <w:lvl w:ilvl="0" w:tentative="0">
      <w:start w:val="1"/>
      <w:numFmt w:val="bullet"/>
      <w:lvlText w:val=""/>
      <w:lvlJc w:val="left"/>
      <w:pPr>
        <w:ind w:left="420" w:hanging="420"/>
      </w:pPr>
      <w:rPr>
        <w:rFonts w:hint="default" w:ascii="Wingdings" w:hAnsi="Wingdings"/>
      </w:rPr>
    </w:lvl>
  </w:abstractNum>
  <w:abstractNum w:abstractNumId="2">
    <w:nsid w:val="C3C79E59"/>
    <w:multiLevelType w:val="singleLevel"/>
    <w:tmpl w:val="C3C79E59"/>
    <w:lvl w:ilvl="0" w:tentative="0">
      <w:start w:val="1"/>
      <w:numFmt w:val="bullet"/>
      <w:lvlText w:val=""/>
      <w:lvlJc w:val="left"/>
      <w:pPr>
        <w:ind w:left="420" w:hanging="420"/>
      </w:pPr>
      <w:rPr>
        <w:rFonts w:hint="default" w:ascii="Wingdings" w:hAnsi="Wingdings"/>
      </w:rPr>
    </w:lvl>
  </w:abstractNum>
  <w:abstractNum w:abstractNumId="3">
    <w:nsid w:val="CB1C579C"/>
    <w:multiLevelType w:val="singleLevel"/>
    <w:tmpl w:val="CB1C579C"/>
    <w:lvl w:ilvl="0" w:tentative="0">
      <w:start w:val="1"/>
      <w:numFmt w:val="bullet"/>
      <w:lvlText w:val=""/>
      <w:lvlJc w:val="left"/>
      <w:pPr>
        <w:ind w:left="420" w:hanging="420"/>
      </w:pPr>
      <w:rPr>
        <w:rFonts w:hint="default" w:ascii="Wingdings" w:hAnsi="Wingdings"/>
      </w:rPr>
    </w:lvl>
  </w:abstractNum>
  <w:abstractNum w:abstractNumId="4">
    <w:nsid w:val="D14556F4"/>
    <w:multiLevelType w:val="singleLevel"/>
    <w:tmpl w:val="D14556F4"/>
    <w:lvl w:ilvl="0" w:tentative="0">
      <w:start w:val="1"/>
      <w:numFmt w:val="decimal"/>
      <w:lvlText w:val="%1."/>
      <w:lvlJc w:val="left"/>
      <w:pPr>
        <w:tabs>
          <w:tab w:val="left" w:pos="312"/>
        </w:tabs>
      </w:pPr>
    </w:lvl>
  </w:abstractNum>
  <w:abstractNum w:abstractNumId="5">
    <w:nsid w:val="E21C6BB5"/>
    <w:multiLevelType w:val="singleLevel"/>
    <w:tmpl w:val="E21C6BB5"/>
    <w:lvl w:ilvl="0" w:tentative="0">
      <w:start w:val="1"/>
      <w:numFmt w:val="bullet"/>
      <w:lvlText w:val=""/>
      <w:lvlJc w:val="left"/>
      <w:pPr>
        <w:ind w:left="420" w:hanging="420"/>
      </w:pPr>
      <w:rPr>
        <w:rFonts w:hint="default" w:ascii="Wingdings" w:hAnsi="Wingdings"/>
      </w:rPr>
    </w:lvl>
  </w:abstractNum>
  <w:abstractNum w:abstractNumId="6">
    <w:nsid w:val="F4D6D36B"/>
    <w:multiLevelType w:val="singleLevel"/>
    <w:tmpl w:val="F4D6D36B"/>
    <w:lvl w:ilvl="0" w:tentative="0">
      <w:start w:val="1"/>
      <w:numFmt w:val="bullet"/>
      <w:lvlText w:val=""/>
      <w:lvlJc w:val="left"/>
      <w:pPr>
        <w:ind w:left="420" w:hanging="420"/>
      </w:pPr>
      <w:rPr>
        <w:rFonts w:hint="default" w:ascii="Wingdings" w:hAnsi="Wingdings"/>
      </w:rPr>
    </w:lvl>
  </w:abstractNum>
  <w:abstractNum w:abstractNumId="7">
    <w:nsid w:val="0AA18DB8"/>
    <w:multiLevelType w:val="singleLevel"/>
    <w:tmpl w:val="0AA18DB8"/>
    <w:lvl w:ilvl="0" w:tentative="0">
      <w:start w:val="1"/>
      <w:numFmt w:val="bullet"/>
      <w:lvlText w:val=""/>
      <w:lvlJc w:val="left"/>
      <w:pPr>
        <w:ind w:left="420" w:hanging="420"/>
      </w:pPr>
      <w:rPr>
        <w:rFonts w:hint="default" w:ascii="Wingdings" w:hAnsi="Wingdings"/>
      </w:rPr>
    </w:lvl>
  </w:abstractNum>
  <w:abstractNum w:abstractNumId="8">
    <w:nsid w:val="1467F1FB"/>
    <w:multiLevelType w:val="singleLevel"/>
    <w:tmpl w:val="1467F1FB"/>
    <w:lvl w:ilvl="0" w:tentative="0">
      <w:start w:val="1"/>
      <w:numFmt w:val="bullet"/>
      <w:lvlText w:val=""/>
      <w:lvlJc w:val="left"/>
      <w:pPr>
        <w:ind w:left="420" w:hanging="420"/>
      </w:pPr>
      <w:rPr>
        <w:rFonts w:hint="default" w:ascii="Wingdings" w:hAnsi="Wingdings"/>
      </w:rPr>
    </w:lvl>
  </w:abstractNum>
  <w:abstractNum w:abstractNumId="9">
    <w:nsid w:val="18016FB0"/>
    <w:multiLevelType w:val="singleLevel"/>
    <w:tmpl w:val="18016FB0"/>
    <w:lvl w:ilvl="0" w:tentative="0">
      <w:start w:val="1"/>
      <w:numFmt w:val="bullet"/>
      <w:lvlText w:val=""/>
      <w:lvlJc w:val="left"/>
      <w:pPr>
        <w:ind w:left="420" w:hanging="420"/>
      </w:pPr>
      <w:rPr>
        <w:rFonts w:hint="default" w:ascii="Wingdings" w:hAnsi="Wingdings"/>
      </w:rPr>
    </w:lvl>
  </w:abstractNum>
  <w:abstractNum w:abstractNumId="10">
    <w:nsid w:val="1CAB9B15"/>
    <w:multiLevelType w:val="singleLevel"/>
    <w:tmpl w:val="1CAB9B15"/>
    <w:lvl w:ilvl="0" w:tentative="0">
      <w:start w:val="1"/>
      <w:numFmt w:val="bullet"/>
      <w:lvlText w:val=""/>
      <w:lvlJc w:val="left"/>
      <w:pPr>
        <w:ind w:left="420" w:hanging="420"/>
      </w:pPr>
      <w:rPr>
        <w:rFonts w:hint="default" w:ascii="Wingdings" w:hAnsi="Wingdings"/>
      </w:rPr>
    </w:lvl>
  </w:abstractNum>
  <w:abstractNum w:abstractNumId="11">
    <w:nsid w:val="21BF99D6"/>
    <w:multiLevelType w:val="singleLevel"/>
    <w:tmpl w:val="21BF99D6"/>
    <w:lvl w:ilvl="0" w:tentative="0">
      <w:start w:val="4"/>
      <w:numFmt w:val="decimal"/>
      <w:suff w:val="nothing"/>
      <w:lvlText w:val="%1、"/>
      <w:lvlJc w:val="left"/>
    </w:lvl>
  </w:abstractNum>
  <w:abstractNum w:abstractNumId="12">
    <w:nsid w:val="2DCFC5EA"/>
    <w:multiLevelType w:val="singleLevel"/>
    <w:tmpl w:val="2DCFC5EA"/>
    <w:lvl w:ilvl="0" w:tentative="0">
      <w:start w:val="1"/>
      <w:numFmt w:val="bullet"/>
      <w:lvlText w:val=""/>
      <w:lvlJc w:val="left"/>
      <w:pPr>
        <w:ind w:left="420" w:hanging="420"/>
      </w:pPr>
      <w:rPr>
        <w:rFonts w:hint="default" w:ascii="Wingdings" w:hAnsi="Wingdings"/>
      </w:rPr>
    </w:lvl>
  </w:abstractNum>
  <w:abstractNum w:abstractNumId="13">
    <w:nsid w:val="33881E4A"/>
    <w:multiLevelType w:val="singleLevel"/>
    <w:tmpl w:val="33881E4A"/>
    <w:lvl w:ilvl="0" w:tentative="0">
      <w:start w:val="1"/>
      <w:numFmt w:val="bullet"/>
      <w:lvlText w:val=""/>
      <w:lvlJc w:val="left"/>
      <w:pPr>
        <w:ind w:left="420" w:hanging="420"/>
      </w:pPr>
      <w:rPr>
        <w:rFonts w:hint="default" w:ascii="Wingdings" w:hAnsi="Wingdings"/>
      </w:rPr>
    </w:lvl>
  </w:abstractNum>
  <w:abstractNum w:abstractNumId="14">
    <w:nsid w:val="4284F850"/>
    <w:multiLevelType w:val="singleLevel"/>
    <w:tmpl w:val="4284F850"/>
    <w:lvl w:ilvl="0" w:tentative="0">
      <w:start w:val="1"/>
      <w:numFmt w:val="bullet"/>
      <w:lvlText w:val=""/>
      <w:lvlJc w:val="left"/>
      <w:pPr>
        <w:ind w:left="420" w:hanging="420"/>
      </w:pPr>
      <w:rPr>
        <w:rFonts w:hint="default" w:ascii="Wingdings" w:hAnsi="Wingdings"/>
      </w:rPr>
    </w:lvl>
  </w:abstractNum>
  <w:abstractNum w:abstractNumId="15">
    <w:nsid w:val="5054484E"/>
    <w:multiLevelType w:val="singleLevel"/>
    <w:tmpl w:val="5054484E"/>
    <w:lvl w:ilvl="0" w:tentative="0">
      <w:start w:val="1"/>
      <w:numFmt w:val="bullet"/>
      <w:lvlText w:val=""/>
      <w:lvlJc w:val="left"/>
      <w:pPr>
        <w:ind w:left="420" w:hanging="420"/>
      </w:pPr>
      <w:rPr>
        <w:rFonts w:hint="default" w:ascii="Wingdings" w:hAnsi="Wingdings"/>
      </w:rPr>
    </w:lvl>
  </w:abstractNum>
  <w:abstractNum w:abstractNumId="16">
    <w:nsid w:val="580AD2E0"/>
    <w:multiLevelType w:val="singleLevel"/>
    <w:tmpl w:val="580AD2E0"/>
    <w:lvl w:ilvl="0" w:tentative="0">
      <w:start w:val="1"/>
      <w:numFmt w:val="bullet"/>
      <w:lvlText w:val=""/>
      <w:lvlJc w:val="left"/>
      <w:pPr>
        <w:ind w:left="420" w:hanging="420"/>
      </w:pPr>
      <w:rPr>
        <w:rFonts w:hint="default" w:ascii="Wingdings" w:hAnsi="Wingdings"/>
      </w:rPr>
    </w:lvl>
  </w:abstractNum>
  <w:abstractNum w:abstractNumId="17">
    <w:nsid w:val="66981C0B"/>
    <w:multiLevelType w:val="multilevel"/>
    <w:tmpl w:val="66981C0B"/>
    <w:lvl w:ilvl="0" w:tentative="0">
      <w:start w:val="1"/>
      <w:numFmt w:val="decimal"/>
      <w:lvlText w:val="%1."/>
      <w:lvlJc w:val="left"/>
      <w:pPr>
        <w:ind w:left="432" w:hanging="432"/>
      </w:pPr>
      <w:rPr>
        <w:rFonts w:hint="eastAsia" w:ascii="微软雅黑" w:hAnsi="微软雅黑" w:eastAsia="微软雅黑"/>
      </w:rPr>
    </w:lvl>
    <w:lvl w:ilvl="1" w:tentative="0">
      <w:start w:val="1"/>
      <w:numFmt w:val="decimal"/>
      <w:lvlText w:val="%1.%2."/>
      <w:lvlJc w:val="left"/>
      <w:pPr>
        <w:ind w:left="576" w:hanging="576"/>
      </w:pPr>
      <w:rPr>
        <w:rFonts w:hint="eastAsia" w:ascii="微软雅黑" w:hAnsi="微软雅黑" w:eastAsia="微软雅黑"/>
      </w:rPr>
    </w:lvl>
    <w:lvl w:ilvl="2" w:tentative="0">
      <w:start w:val="1"/>
      <w:numFmt w:val="decimal"/>
      <w:pStyle w:val="2"/>
      <w:suff w:val="space"/>
      <w:lvlText w:val="%1.%2.%3."/>
      <w:lvlJc w:val="left"/>
      <w:pPr>
        <w:ind w:left="720" w:hanging="720"/>
      </w:pPr>
      <w:rPr>
        <w:rFonts w:hint="eastAsia"/>
      </w:rPr>
    </w:lvl>
    <w:lvl w:ilvl="3" w:tentative="0">
      <w:start w:val="1"/>
      <w:numFmt w:val="decimal"/>
      <w:suff w:val="space"/>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8">
    <w:nsid w:val="756CF4D3"/>
    <w:multiLevelType w:val="singleLevel"/>
    <w:tmpl w:val="756CF4D3"/>
    <w:lvl w:ilvl="0" w:tentative="0">
      <w:start w:val="1"/>
      <w:numFmt w:val="bullet"/>
      <w:lvlText w:val=""/>
      <w:lvlJc w:val="left"/>
      <w:pPr>
        <w:ind w:left="420" w:hanging="420"/>
      </w:pPr>
      <w:rPr>
        <w:rFonts w:hint="default" w:ascii="Wingdings" w:hAnsi="Wingdings"/>
      </w:rPr>
    </w:lvl>
  </w:abstractNum>
  <w:num w:numId="1">
    <w:abstractNumId w:val="17"/>
  </w:num>
  <w:num w:numId="2">
    <w:abstractNumId w:val="4"/>
  </w:num>
  <w:num w:numId="3">
    <w:abstractNumId w:val="8"/>
  </w:num>
  <w:num w:numId="4">
    <w:abstractNumId w:val="16"/>
  </w:num>
  <w:num w:numId="5">
    <w:abstractNumId w:val="5"/>
  </w:num>
  <w:num w:numId="6">
    <w:abstractNumId w:val="18"/>
  </w:num>
  <w:num w:numId="7">
    <w:abstractNumId w:val="14"/>
  </w:num>
  <w:num w:numId="8">
    <w:abstractNumId w:val="9"/>
  </w:num>
  <w:num w:numId="9">
    <w:abstractNumId w:val="13"/>
  </w:num>
  <w:num w:numId="10">
    <w:abstractNumId w:val="1"/>
  </w:num>
  <w:num w:numId="11">
    <w:abstractNumId w:val="11"/>
  </w:num>
  <w:num w:numId="12">
    <w:abstractNumId w:val="3"/>
  </w:num>
  <w:num w:numId="13">
    <w:abstractNumId w:val="0"/>
  </w:num>
  <w:num w:numId="14">
    <w:abstractNumId w:val="12"/>
  </w:num>
  <w:num w:numId="15">
    <w:abstractNumId w:val="2"/>
  </w:num>
  <w:num w:numId="16">
    <w:abstractNumId w:val="15"/>
  </w:num>
  <w:num w:numId="17">
    <w:abstractNumId w:val="10"/>
  </w:num>
  <w:num w:numId="18">
    <w:abstractNumId w:val="6"/>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wYThjOWJmZDY2ZmI0ZjQ0ZTk0YTVhMzRmMTcxODAifQ=="/>
  </w:docVars>
  <w:rsids>
    <w:rsidRoot w:val="067B6302"/>
    <w:rsid w:val="067B6302"/>
    <w:rsid w:val="188649F5"/>
    <w:rsid w:val="19903DDE"/>
    <w:rsid w:val="1EF25C67"/>
    <w:rsid w:val="2037160E"/>
    <w:rsid w:val="20F04992"/>
    <w:rsid w:val="22EF67DD"/>
    <w:rsid w:val="2E96631E"/>
    <w:rsid w:val="30BF2820"/>
    <w:rsid w:val="3862103F"/>
    <w:rsid w:val="38743CBC"/>
    <w:rsid w:val="49C134B9"/>
    <w:rsid w:val="4C9B3AB5"/>
    <w:rsid w:val="52CD24EF"/>
    <w:rsid w:val="53706BA4"/>
    <w:rsid w:val="71470F94"/>
    <w:rsid w:val="7D4F0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numPr>
        <w:ilvl w:val="2"/>
        <w:numId w:val="1"/>
      </w:numPr>
      <w:outlineLvl w:val="2"/>
    </w:pPr>
    <w:rPr>
      <w:rFonts w:ascii="微软雅黑" w:hAnsi="微软雅黑"/>
      <w:b/>
      <w:bCs/>
      <w:sz w:val="30"/>
      <w:szCs w:val="32"/>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customStyle="1" w:styleId="6">
    <w:name w:val="Table Text"/>
    <w:basedOn w:val="1"/>
    <w:semiHidden/>
    <w:qFormat/>
    <w:uiPriority w:val="0"/>
    <w:rPr>
      <w:rFonts w:ascii="宋体" w:hAnsi="宋体" w:eastAsia="宋体" w:cs="宋体"/>
      <w:sz w:val="25"/>
      <w:szCs w:val="25"/>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正文_8"/>
    <w:qFormat/>
    <w:uiPriority w:val="0"/>
    <w:pPr>
      <w:widowControl w:val="0"/>
      <w:jc w:val="both"/>
    </w:pPr>
    <w:rPr>
      <w:rFonts w:ascii="Times New Roman" w:hAnsi="Times New Roman" w:eastAsia="方正黑体_GBK" w:cs="Times New Roman"/>
      <w:kern w:val="2"/>
      <w:sz w:val="21"/>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2586</Words>
  <Characters>2698</Characters>
  <Lines>0</Lines>
  <Paragraphs>0</Paragraphs>
  <TotalTime>0</TotalTime>
  <ScaleCrop>false</ScaleCrop>
  <LinksUpToDate>false</LinksUpToDate>
  <CharactersWithSpaces>2705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2024-11-04T08:48:00Z</dcterms:created>
  <dc:creator>美哥</dc:creator>
  <cp:lastModifiedBy>美哥</cp:lastModifiedBy>
  <dcterms:modified xsi:type="dcterms:W3CDTF">2024-11-05T05:35:04Z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8DFE0BEE3CDD455E9F9C5A92253BF656_11</vt:lpwstr>
  </property>
</Properties>
</file>